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8F46" w14:textId="77777777" w:rsidR="0084383B" w:rsidRPr="00ED1143" w:rsidRDefault="0084383B" w:rsidP="00C661E9">
      <w:pPr>
        <w:jc w:val="center"/>
        <w:rPr>
          <w:rFonts w:ascii="Garamond" w:hAnsi="Garamond" w:cstheme="minorHAnsi"/>
          <w:sz w:val="24"/>
          <w:szCs w:val="24"/>
        </w:rPr>
      </w:pPr>
    </w:p>
    <w:p w14:paraId="33F4D906" w14:textId="2E529739" w:rsidR="00C32B56" w:rsidRPr="00C32B56" w:rsidRDefault="00C32B56" w:rsidP="00C661E9">
      <w:pPr>
        <w:ind w:left="-360" w:right="-450"/>
        <w:jc w:val="center"/>
        <w:rPr>
          <w:rFonts w:ascii="Garamond" w:hAnsi="Garamond"/>
          <w:sz w:val="24"/>
          <w:szCs w:val="24"/>
        </w:rPr>
      </w:pPr>
    </w:p>
    <w:p w14:paraId="435D0FF3" w14:textId="77777777" w:rsidR="006570A8" w:rsidRDefault="006570A8" w:rsidP="00C661E9">
      <w:pPr>
        <w:ind w:left="-360" w:right="-450"/>
        <w:jc w:val="center"/>
        <w:rPr>
          <w:rFonts w:ascii="Garamond" w:hAnsi="Garamond" w:cstheme="minorHAnsi"/>
          <w:sz w:val="24"/>
          <w:szCs w:val="24"/>
        </w:rPr>
      </w:pPr>
    </w:p>
    <w:p w14:paraId="16357FEF" w14:textId="77777777" w:rsidR="006570A8" w:rsidRDefault="006570A8" w:rsidP="00C661E9">
      <w:pPr>
        <w:ind w:left="-360" w:right="-450"/>
        <w:jc w:val="center"/>
        <w:rPr>
          <w:rFonts w:ascii="Garamond" w:hAnsi="Garamond" w:cstheme="minorHAnsi"/>
          <w:sz w:val="24"/>
          <w:szCs w:val="24"/>
        </w:rPr>
      </w:pPr>
    </w:p>
    <w:p w14:paraId="60EB716F" w14:textId="77777777" w:rsidR="006570A8" w:rsidRDefault="006570A8" w:rsidP="00C661E9">
      <w:pPr>
        <w:ind w:left="-360" w:right="-450"/>
        <w:jc w:val="center"/>
        <w:rPr>
          <w:rFonts w:ascii="Garamond" w:hAnsi="Garamond" w:cstheme="minorHAnsi"/>
          <w:sz w:val="24"/>
          <w:szCs w:val="24"/>
        </w:rPr>
      </w:pPr>
    </w:p>
    <w:p w14:paraId="119C095C" w14:textId="77777777" w:rsidR="006570A8" w:rsidRDefault="006570A8" w:rsidP="00C661E9">
      <w:pPr>
        <w:ind w:left="-360" w:right="-450"/>
        <w:jc w:val="center"/>
        <w:rPr>
          <w:rFonts w:ascii="Garamond" w:hAnsi="Garamond" w:cstheme="minorHAnsi"/>
          <w:sz w:val="24"/>
          <w:szCs w:val="24"/>
        </w:rPr>
      </w:pPr>
    </w:p>
    <w:p w14:paraId="22B13FF3" w14:textId="77777777" w:rsidR="006570A8" w:rsidRDefault="006570A8" w:rsidP="00C661E9">
      <w:pPr>
        <w:ind w:left="-360" w:right="-450"/>
        <w:jc w:val="center"/>
        <w:rPr>
          <w:rFonts w:ascii="Garamond" w:hAnsi="Garamond" w:cstheme="minorHAnsi"/>
          <w:sz w:val="24"/>
          <w:szCs w:val="24"/>
        </w:rPr>
      </w:pPr>
    </w:p>
    <w:p w14:paraId="6116711C" w14:textId="77777777" w:rsidR="006570A8" w:rsidRPr="00ED1143" w:rsidRDefault="006570A8" w:rsidP="00C661E9">
      <w:pPr>
        <w:ind w:left="-360" w:right="-450"/>
        <w:jc w:val="center"/>
        <w:rPr>
          <w:rFonts w:ascii="Garamond" w:hAnsi="Garamond" w:cstheme="minorHAnsi"/>
          <w:sz w:val="24"/>
          <w:szCs w:val="24"/>
        </w:rPr>
      </w:pPr>
    </w:p>
    <w:p w14:paraId="21682B63" w14:textId="29C44426" w:rsidR="00720405" w:rsidRPr="00720405" w:rsidRDefault="00E64852" w:rsidP="00C661E9">
      <w:pPr>
        <w:ind w:left="-540" w:right="-630"/>
        <w:jc w:val="center"/>
        <w:rPr>
          <w:rFonts w:ascii="Garamond" w:hAnsi="Garamond"/>
          <w:b/>
          <w:sz w:val="32"/>
          <w:szCs w:val="32"/>
        </w:rPr>
      </w:pPr>
      <w:r w:rsidRPr="15547437">
        <w:rPr>
          <w:rFonts w:ascii="Garamond" w:hAnsi="Garamond"/>
          <w:b/>
          <w:sz w:val="32"/>
          <w:szCs w:val="32"/>
        </w:rPr>
        <w:t xml:space="preserve">RECOMMENDATIONS </w:t>
      </w:r>
      <w:r w:rsidR="00720405" w:rsidRPr="15547437">
        <w:rPr>
          <w:rFonts w:ascii="Garamond" w:hAnsi="Garamond"/>
          <w:b/>
          <w:sz w:val="32"/>
          <w:szCs w:val="32"/>
        </w:rPr>
        <w:t xml:space="preserve">ON THE </w:t>
      </w:r>
    </w:p>
    <w:p w14:paraId="3BC75808" w14:textId="0EBEF366" w:rsidR="00720405" w:rsidRPr="003325D0" w:rsidRDefault="002E1C64" w:rsidP="00C661E9">
      <w:pPr>
        <w:ind w:left="-540" w:right="-630"/>
        <w:jc w:val="center"/>
        <w:rPr>
          <w:rFonts w:ascii="Garamond" w:hAnsi="Garamond" w:cstheme="minorHAnsi"/>
          <w:b/>
          <w:sz w:val="44"/>
          <w:szCs w:val="44"/>
        </w:rPr>
      </w:pPr>
      <w:r w:rsidRPr="003325D0">
        <w:rPr>
          <w:rFonts w:ascii="Garamond" w:hAnsi="Garamond"/>
          <w:noProof/>
        </w:rPr>
        <w:drawing>
          <wp:anchor distT="0" distB="0" distL="114300" distR="114300" simplePos="0" relativeHeight="251658265" behindDoc="0" locked="0" layoutInCell="1" allowOverlap="1" wp14:anchorId="4D55D6F6" wp14:editId="3D7C17AD">
            <wp:simplePos x="0" y="0"/>
            <wp:positionH relativeFrom="rightMargin">
              <wp:posOffset>-5076825</wp:posOffset>
            </wp:positionH>
            <wp:positionV relativeFrom="paragraph">
              <wp:posOffset>434975</wp:posOffset>
            </wp:positionV>
            <wp:extent cx="228600" cy="228600"/>
            <wp:effectExtent l="0" t="0" r="0" b="0"/>
            <wp:wrapNone/>
            <wp:docPr id="3" name="Graphic 3"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E64852" w:rsidRPr="003325D0">
        <w:rPr>
          <w:rFonts w:ascii="Garamond" w:hAnsi="Garamond" w:cstheme="minorHAnsi"/>
          <w:b/>
          <w:sz w:val="44"/>
          <w:szCs w:val="44"/>
        </w:rPr>
        <w:t>2020</w:t>
      </w:r>
      <w:r w:rsidR="00E64852" w:rsidRPr="003325D0">
        <w:rPr>
          <w:rFonts w:ascii="Garamond" w:hAnsi="Garamond"/>
          <w:b/>
          <w:sz w:val="44"/>
          <w:szCs w:val="44"/>
        </w:rPr>
        <w:t xml:space="preserve"> UTILITY WILDFIRE MITIGATION PLANS</w:t>
      </w:r>
      <w:r w:rsidR="00720405" w:rsidRPr="003325D0">
        <w:rPr>
          <w:rFonts w:ascii="Garamond" w:hAnsi="Garamond" w:cstheme="minorHAnsi"/>
          <w:b/>
          <w:sz w:val="44"/>
          <w:szCs w:val="44"/>
        </w:rPr>
        <w:t xml:space="preserve"> </w:t>
      </w:r>
    </w:p>
    <w:p w14:paraId="620D617F" w14:textId="0517A8B7" w:rsidR="00720405" w:rsidRPr="00720405" w:rsidRDefault="00720405" w:rsidP="00C661E9">
      <w:pPr>
        <w:ind w:left="-540" w:right="-630"/>
        <w:jc w:val="center"/>
        <w:rPr>
          <w:rFonts w:ascii="Garamond" w:hAnsi="Garamond"/>
          <w:b/>
          <w:sz w:val="32"/>
          <w:szCs w:val="32"/>
        </w:rPr>
      </w:pPr>
      <w:r w:rsidRPr="15547437">
        <w:rPr>
          <w:rFonts w:ascii="Garamond" w:hAnsi="Garamond"/>
          <w:b/>
          <w:sz w:val="32"/>
          <w:szCs w:val="32"/>
        </w:rPr>
        <w:t xml:space="preserve">WILDFIRE SAFETY ADVISORY BOARD </w:t>
      </w:r>
    </w:p>
    <w:p w14:paraId="336970AA" w14:textId="4AD8E808" w:rsidR="00502433" w:rsidRDefault="00502433" w:rsidP="00C661E9">
      <w:pPr>
        <w:ind w:left="-360" w:right="-450"/>
        <w:jc w:val="center"/>
        <w:rPr>
          <w:rFonts w:ascii="Garamond" w:hAnsi="Garamond" w:cstheme="minorHAnsi"/>
          <w:sz w:val="24"/>
          <w:szCs w:val="24"/>
        </w:rPr>
      </w:pPr>
    </w:p>
    <w:p w14:paraId="075C75A3" w14:textId="77777777" w:rsidR="00923154" w:rsidRPr="005928EB" w:rsidRDefault="00923154" w:rsidP="00923154">
      <w:pPr>
        <w:ind w:left="-360" w:right="-450"/>
        <w:jc w:val="center"/>
        <w:rPr>
          <w:rFonts w:ascii="Garamond" w:hAnsi="Garamond" w:cstheme="minorHAnsi"/>
          <w:b/>
          <w:bCs/>
          <w:color w:val="C00000"/>
          <w:sz w:val="24"/>
          <w:szCs w:val="24"/>
        </w:rPr>
      </w:pPr>
      <w:r w:rsidRPr="005928EB">
        <w:rPr>
          <w:rFonts w:ascii="Garamond" w:hAnsi="Garamond" w:cstheme="minorHAnsi"/>
          <w:b/>
          <w:bCs/>
          <w:color w:val="C00000"/>
          <w:sz w:val="24"/>
          <w:szCs w:val="24"/>
        </w:rPr>
        <w:t xml:space="preserve">REVIEW DRAFT FOR APRIL 15, 2020 BOARD MEETING </w:t>
      </w:r>
    </w:p>
    <w:p w14:paraId="7E4A66F3" w14:textId="797B4569" w:rsidR="00923154" w:rsidRDefault="00346C79" w:rsidP="00C661E9">
      <w:pPr>
        <w:ind w:left="-360" w:right="-450"/>
        <w:jc w:val="center"/>
        <w:rPr>
          <w:rFonts w:ascii="Garamond" w:hAnsi="Garamond"/>
          <w:b/>
          <w:bCs/>
          <w:color w:val="C00000"/>
          <w:sz w:val="24"/>
          <w:szCs w:val="24"/>
        </w:rPr>
      </w:pPr>
      <w:r w:rsidRPr="005928EB">
        <w:rPr>
          <w:rFonts w:ascii="Garamond" w:hAnsi="Garamond"/>
          <w:b/>
          <w:bCs/>
          <w:color w:val="C00000"/>
          <w:sz w:val="24"/>
          <w:szCs w:val="24"/>
        </w:rPr>
        <w:t>UPDATES TO ADDRESS COVID-19</w:t>
      </w:r>
    </w:p>
    <w:p w14:paraId="0922C1F6" w14:textId="77777777" w:rsidR="00346C79" w:rsidRDefault="00346C79" w:rsidP="00C661E9">
      <w:pPr>
        <w:ind w:left="-360" w:right="-450"/>
        <w:jc w:val="center"/>
        <w:rPr>
          <w:rFonts w:ascii="Garamond" w:hAnsi="Garamond" w:cstheme="minorHAnsi"/>
          <w:sz w:val="24"/>
          <w:szCs w:val="24"/>
        </w:rPr>
      </w:pPr>
    </w:p>
    <w:p w14:paraId="643BE747" w14:textId="1EEA7CB9" w:rsidR="00A95DB0" w:rsidRPr="005928EB" w:rsidRDefault="005928EB" w:rsidP="00C661E9">
      <w:pPr>
        <w:ind w:left="-360" w:right="-450"/>
        <w:jc w:val="center"/>
        <w:rPr>
          <w:rFonts w:ascii="Garamond" w:hAnsi="Garamond" w:cstheme="minorHAnsi"/>
          <w:color w:val="C00000"/>
          <w:sz w:val="24"/>
          <w:szCs w:val="24"/>
        </w:rPr>
      </w:pPr>
      <w:r w:rsidRPr="005928EB">
        <w:rPr>
          <w:rFonts w:ascii="Garamond" w:hAnsi="Garamond" w:cstheme="minorHAnsi"/>
          <w:color w:val="C00000"/>
          <w:sz w:val="24"/>
          <w:szCs w:val="24"/>
        </w:rPr>
        <w:t xml:space="preserve">April 14, 2020 </w:t>
      </w:r>
    </w:p>
    <w:p w14:paraId="214EB327" w14:textId="77777777" w:rsidR="00A95DB0" w:rsidRPr="00502433" w:rsidRDefault="00A95DB0" w:rsidP="00C661E9">
      <w:pPr>
        <w:ind w:left="-360" w:right="-450"/>
        <w:jc w:val="center"/>
        <w:rPr>
          <w:rFonts w:ascii="Garamond" w:hAnsi="Garamond" w:cstheme="minorHAnsi"/>
          <w:sz w:val="24"/>
          <w:szCs w:val="24"/>
        </w:rPr>
      </w:pPr>
    </w:p>
    <w:p w14:paraId="122D1D99" w14:textId="77777777" w:rsidR="00714C16" w:rsidRDefault="00714C16" w:rsidP="00C661E9">
      <w:pPr>
        <w:ind w:left="-360" w:right="-450"/>
        <w:jc w:val="center"/>
        <w:rPr>
          <w:rFonts w:ascii="Garamond" w:hAnsi="Garamond" w:cstheme="minorHAnsi"/>
          <w:sz w:val="24"/>
          <w:szCs w:val="24"/>
        </w:rPr>
      </w:pPr>
      <w:r>
        <w:rPr>
          <w:rFonts w:ascii="Garamond" w:hAnsi="Garamond" w:cstheme="minorHAnsi"/>
          <w:sz w:val="24"/>
          <w:szCs w:val="24"/>
        </w:rPr>
        <w:t xml:space="preserve">California Public Utilities Commission </w:t>
      </w:r>
    </w:p>
    <w:p w14:paraId="5B983111" w14:textId="789F2E24" w:rsidR="0084383B" w:rsidRPr="00ED1143" w:rsidRDefault="0084383B" w:rsidP="00C661E9">
      <w:pPr>
        <w:jc w:val="center"/>
        <w:rPr>
          <w:rFonts w:ascii="Garamond" w:hAnsi="Garamond" w:cstheme="minorHAnsi"/>
          <w:sz w:val="24"/>
          <w:szCs w:val="24"/>
        </w:rPr>
      </w:pPr>
    </w:p>
    <w:p w14:paraId="3763D7C9" w14:textId="77777777" w:rsidR="00B66416" w:rsidRDefault="00F5725F" w:rsidP="00C661E9">
      <w:pPr>
        <w:rPr>
          <w:rFonts w:ascii="Garamond" w:hAnsi="Garamond" w:cstheme="minorHAnsi"/>
          <w:sz w:val="24"/>
          <w:szCs w:val="24"/>
        </w:rPr>
        <w:sectPr w:rsidR="00B66416" w:rsidSect="00BE3BE2">
          <w:headerReference w:type="default" r:id="rId10"/>
          <w:footerReference w:type="first" r:id="rId11"/>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docGrid w:linePitch="360"/>
        </w:sectPr>
      </w:pPr>
      <w:r>
        <w:rPr>
          <w:rFonts w:ascii="Garamond" w:hAnsi="Garamond" w:cstheme="minorHAnsi"/>
          <w:sz w:val="24"/>
          <w:szCs w:val="24"/>
        </w:rPr>
        <w:br w:type="page"/>
      </w:r>
    </w:p>
    <w:p w14:paraId="7FB730ED" w14:textId="41D07DF6" w:rsidR="002E1C64" w:rsidRPr="00C115EF" w:rsidRDefault="002E1C64" w:rsidP="00855C71">
      <w:pPr>
        <w:jc w:val="center"/>
        <w:rPr>
          <w:rFonts w:ascii="Garamond" w:hAnsi="Garamond" w:cstheme="minorHAnsi"/>
          <w:b/>
          <w:bCs/>
          <w:sz w:val="24"/>
          <w:szCs w:val="24"/>
        </w:rPr>
      </w:pPr>
      <w:r w:rsidRPr="00C115EF">
        <w:rPr>
          <w:rFonts w:ascii="Garamond" w:hAnsi="Garamond" w:cstheme="minorHAnsi"/>
          <w:b/>
          <w:bCs/>
          <w:sz w:val="24"/>
          <w:szCs w:val="24"/>
        </w:rPr>
        <w:t>Recommendations on the 2020 Utility Wildfire Mitigation Plans</w:t>
      </w:r>
    </w:p>
    <w:p w14:paraId="2FB0A496" w14:textId="74E3E40C" w:rsidR="004E482A" w:rsidRPr="00C115EF" w:rsidRDefault="00B9399F" w:rsidP="001B0090">
      <w:pPr>
        <w:tabs>
          <w:tab w:val="center" w:pos="4680"/>
          <w:tab w:val="left" w:pos="7051"/>
        </w:tabs>
        <w:rPr>
          <w:rFonts w:ascii="Garamond" w:hAnsi="Garamond" w:cstheme="minorHAnsi"/>
          <w:b/>
          <w:bCs/>
          <w:sz w:val="24"/>
          <w:szCs w:val="24"/>
        </w:rPr>
      </w:pPr>
      <w:r>
        <w:rPr>
          <w:rFonts w:ascii="Garamond" w:hAnsi="Garamond" w:cstheme="minorHAnsi"/>
          <w:b/>
          <w:bCs/>
          <w:sz w:val="24"/>
          <w:szCs w:val="24"/>
        </w:rPr>
        <w:tab/>
      </w:r>
      <w:r w:rsidR="009B394C" w:rsidRPr="00C115EF">
        <w:rPr>
          <w:rFonts w:ascii="Garamond" w:hAnsi="Garamond" w:cstheme="minorHAnsi"/>
          <w:b/>
          <w:bCs/>
          <w:sz w:val="24"/>
          <w:szCs w:val="24"/>
        </w:rPr>
        <w:t>Wildfire Safety Advisory Board</w:t>
      </w:r>
      <w:r>
        <w:rPr>
          <w:rFonts w:ascii="Garamond" w:hAnsi="Garamond" w:cstheme="minorHAnsi"/>
          <w:b/>
          <w:bCs/>
          <w:sz w:val="24"/>
          <w:szCs w:val="24"/>
        </w:rPr>
        <w:tab/>
      </w:r>
    </w:p>
    <w:p w14:paraId="6C18F195" w14:textId="77777777" w:rsidR="00C935D1" w:rsidRDefault="00C935D1" w:rsidP="00C115EF">
      <w:pPr>
        <w:jc w:val="center"/>
        <w:rPr>
          <w:rFonts w:ascii="Garamond" w:hAnsi="Garamond" w:cstheme="minorHAnsi"/>
          <w:b/>
          <w:bCs/>
          <w:sz w:val="24"/>
          <w:szCs w:val="24"/>
        </w:rPr>
      </w:pPr>
    </w:p>
    <w:p w14:paraId="0BF541DF" w14:textId="074A9429" w:rsidR="003036B1" w:rsidRDefault="009B394C" w:rsidP="00C115EF">
      <w:pPr>
        <w:rPr>
          <w:rFonts w:ascii="Garamond" w:hAnsi="Garamond" w:cstheme="minorHAnsi"/>
          <w:sz w:val="24"/>
          <w:szCs w:val="24"/>
        </w:rPr>
      </w:pPr>
      <w:r>
        <w:rPr>
          <w:rFonts w:ascii="Garamond" w:hAnsi="Garamond" w:cstheme="minorHAnsi"/>
          <w:sz w:val="24"/>
          <w:szCs w:val="24"/>
        </w:rPr>
        <w:t xml:space="preserve">This </w:t>
      </w:r>
      <w:r w:rsidR="00E369FB">
        <w:rPr>
          <w:rFonts w:ascii="Garamond" w:hAnsi="Garamond" w:cstheme="minorHAnsi"/>
          <w:sz w:val="24"/>
          <w:szCs w:val="24"/>
        </w:rPr>
        <w:t>document contains</w:t>
      </w:r>
      <w:r>
        <w:rPr>
          <w:rFonts w:ascii="Garamond" w:hAnsi="Garamond" w:cstheme="minorHAnsi"/>
          <w:sz w:val="24"/>
          <w:szCs w:val="24"/>
        </w:rPr>
        <w:t xml:space="preserve"> the recommendations of the W</w:t>
      </w:r>
      <w:r w:rsidR="00E369FB">
        <w:rPr>
          <w:rFonts w:ascii="Garamond" w:hAnsi="Garamond" w:cstheme="minorHAnsi"/>
          <w:sz w:val="24"/>
          <w:szCs w:val="24"/>
        </w:rPr>
        <w:t xml:space="preserve">ildfire </w:t>
      </w:r>
      <w:r>
        <w:rPr>
          <w:rFonts w:ascii="Garamond" w:hAnsi="Garamond" w:cstheme="minorHAnsi"/>
          <w:sz w:val="24"/>
          <w:szCs w:val="24"/>
        </w:rPr>
        <w:t>S</w:t>
      </w:r>
      <w:r w:rsidR="00E369FB">
        <w:rPr>
          <w:rFonts w:ascii="Garamond" w:hAnsi="Garamond" w:cstheme="minorHAnsi"/>
          <w:sz w:val="24"/>
          <w:szCs w:val="24"/>
        </w:rPr>
        <w:t xml:space="preserve">afety </w:t>
      </w:r>
      <w:r>
        <w:rPr>
          <w:rFonts w:ascii="Garamond" w:hAnsi="Garamond" w:cstheme="minorHAnsi"/>
          <w:sz w:val="24"/>
          <w:szCs w:val="24"/>
        </w:rPr>
        <w:t>A</w:t>
      </w:r>
      <w:r w:rsidR="00E369FB">
        <w:rPr>
          <w:rFonts w:ascii="Garamond" w:hAnsi="Garamond" w:cstheme="minorHAnsi"/>
          <w:sz w:val="24"/>
          <w:szCs w:val="24"/>
        </w:rPr>
        <w:t xml:space="preserve">dvisory </w:t>
      </w:r>
      <w:r>
        <w:rPr>
          <w:rFonts w:ascii="Garamond" w:hAnsi="Garamond" w:cstheme="minorHAnsi"/>
          <w:sz w:val="24"/>
          <w:szCs w:val="24"/>
        </w:rPr>
        <w:t>B</w:t>
      </w:r>
      <w:r w:rsidR="00E369FB">
        <w:rPr>
          <w:rFonts w:ascii="Garamond" w:hAnsi="Garamond" w:cstheme="minorHAnsi"/>
          <w:sz w:val="24"/>
          <w:szCs w:val="24"/>
        </w:rPr>
        <w:t>oard</w:t>
      </w:r>
      <w:r>
        <w:rPr>
          <w:rFonts w:ascii="Garamond" w:hAnsi="Garamond" w:cstheme="minorHAnsi"/>
          <w:sz w:val="24"/>
          <w:szCs w:val="24"/>
        </w:rPr>
        <w:t xml:space="preserve"> on the utilities’ 2020 </w:t>
      </w:r>
      <w:r w:rsidR="0089406E">
        <w:rPr>
          <w:rFonts w:ascii="Garamond" w:hAnsi="Garamond" w:cstheme="minorHAnsi"/>
          <w:sz w:val="24"/>
          <w:szCs w:val="24"/>
        </w:rPr>
        <w:t>W</w:t>
      </w:r>
      <w:r>
        <w:rPr>
          <w:rFonts w:ascii="Garamond" w:hAnsi="Garamond" w:cstheme="minorHAnsi"/>
          <w:sz w:val="24"/>
          <w:szCs w:val="24"/>
        </w:rPr>
        <w:t xml:space="preserve">ildfire </w:t>
      </w:r>
      <w:r w:rsidR="0089406E">
        <w:rPr>
          <w:rFonts w:ascii="Garamond" w:hAnsi="Garamond" w:cstheme="minorHAnsi"/>
          <w:sz w:val="24"/>
          <w:szCs w:val="24"/>
        </w:rPr>
        <w:t>Mitigation Plans (WMP).</w:t>
      </w:r>
      <w:r>
        <w:rPr>
          <w:rFonts w:ascii="Garamond" w:hAnsi="Garamond" w:cstheme="minorHAnsi"/>
          <w:sz w:val="24"/>
          <w:szCs w:val="24"/>
        </w:rPr>
        <w:t xml:space="preserve">  </w:t>
      </w:r>
      <w:r w:rsidR="00DD5A28">
        <w:rPr>
          <w:rFonts w:ascii="Garamond" w:hAnsi="Garamond" w:cstheme="minorHAnsi"/>
          <w:sz w:val="24"/>
          <w:szCs w:val="24"/>
        </w:rPr>
        <w:t xml:space="preserve">Members of the Board </w:t>
      </w:r>
      <w:r w:rsidR="0050126A">
        <w:rPr>
          <w:rFonts w:ascii="Garamond" w:hAnsi="Garamond" w:cstheme="minorHAnsi"/>
          <w:sz w:val="24"/>
          <w:szCs w:val="24"/>
        </w:rPr>
        <w:t xml:space="preserve">developed </w:t>
      </w:r>
      <w:r w:rsidR="00AF630E">
        <w:rPr>
          <w:rFonts w:ascii="Garamond" w:hAnsi="Garamond" w:cstheme="minorHAnsi"/>
          <w:sz w:val="24"/>
          <w:szCs w:val="24"/>
        </w:rPr>
        <w:t xml:space="preserve">these recommendations </w:t>
      </w:r>
      <w:r w:rsidR="00B85CB1">
        <w:rPr>
          <w:rFonts w:ascii="Garamond" w:hAnsi="Garamond" w:cstheme="minorHAnsi"/>
          <w:sz w:val="24"/>
          <w:szCs w:val="24"/>
        </w:rPr>
        <w:t xml:space="preserve">in collaboration with the ongoing work efforts </w:t>
      </w:r>
      <w:r w:rsidR="006C78EC">
        <w:rPr>
          <w:rFonts w:ascii="Garamond" w:hAnsi="Garamond" w:cstheme="minorHAnsi"/>
          <w:sz w:val="24"/>
          <w:szCs w:val="24"/>
        </w:rPr>
        <w:t xml:space="preserve">undertaken at the California Public Utilities Commission by the Wildfire Safety Division, </w:t>
      </w:r>
      <w:r w:rsidR="00B80FB6">
        <w:rPr>
          <w:rFonts w:ascii="Garamond" w:hAnsi="Garamond" w:cstheme="minorHAnsi"/>
          <w:sz w:val="24"/>
          <w:szCs w:val="24"/>
        </w:rPr>
        <w:t>CalFire, California Office of Emergency Services</w:t>
      </w:r>
      <w:r w:rsidR="00935470">
        <w:rPr>
          <w:rFonts w:ascii="Garamond" w:hAnsi="Garamond" w:cstheme="minorHAnsi"/>
          <w:sz w:val="24"/>
          <w:szCs w:val="24"/>
        </w:rPr>
        <w:t xml:space="preserve">.  </w:t>
      </w:r>
      <w:r w:rsidR="000E11A3">
        <w:rPr>
          <w:rFonts w:ascii="Garamond" w:hAnsi="Garamond" w:cstheme="minorHAnsi"/>
          <w:sz w:val="24"/>
          <w:szCs w:val="24"/>
        </w:rPr>
        <w:t xml:space="preserve">We hope that </w:t>
      </w:r>
      <w:r w:rsidR="000D2B9F">
        <w:rPr>
          <w:rFonts w:ascii="Garamond" w:hAnsi="Garamond" w:cstheme="minorHAnsi"/>
          <w:sz w:val="24"/>
          <w:szCs w:val="24"/>
        </w:rPr>
        <w:t>recommendations</w:t>
      </w:r>
      <w:r w:rsidR="000E11A3">
        <w:rPr>
          <w:rFonts w:ascii="Garamond" w:hAnsi="Garamond" w:cstheme="minorHAnsi"/>
          <w:sz w:val="24"/>
          <w:szCs w:val="24"/>
        </w:rPr>
        <w:t xml:space="preserve"> identified here will </w:t>
      </w:r>
      <w:r w:rsidR="00CA0D47">
        <w:rPr>
          <w:rFonts w:ascii="Garamond" w:hAnsi="Garamond" w:cstheme="minorHAnsi"/>
          <w:sz w:val="24"/>
          <w:szCs w:val="24"/>
        </w:rPr>
        <w:t xml:space="preserve">help </w:t>
      </w:r>
      <w:r w:rsidR="000D2B9F">
        <w:rPr>
          <w:rFonts w:ascii="Garamond" w:hAnsi="Garamond" w:cstheme="minorHAnsi"/>
          <w:sz w:val="24"/>
          <w:szCs w:val="24"/>
        </w:rPr>
        <w:t>our state to</w:t>
      </w:r>
      <w:r w:rsidR="00CA0D47">
        <w:rPr>
          <w:rFonts w:ascii="Garamond" w:hAnsi="Garamond" w:cstheme="minorHAnsi"/>
          <w:sz w:val="24"/>
          <w:szCs w:val="24"/>
        </w:rPr>
        <w:t xml:space="preserve"> </w:t>
      </w:r>
      <w:r w:rsidR="001709DE">
        <w:rPr>
          <w:rFonts w:ascii="Garamond" w:hAnsi="Garamond" w:cstheme="minorHAnsi"/>
          <w:sz w:val="24"/>
          <w:szCs w:val="24"/>
        </w:rPr>
        <w:t>focus</w:t>
      </w:r>
      <w:r w:rsidR="00D50266">
        <w:rPr>
          <w:rFonts w:ascii="Garamond" w:hAnsi="Garamond" w:cstheme="minorHAnsi"/>
          <w:sz w:val="24"/>
          <w:szCs w:val="24"/>
        </w:rPr>
        <w:t xml:space="preserve"> efforts</w:t>
      </w:r>
      <w:r w:rsidR="00CA0D47">
        <w:rPr>
          <w:rFonts w:ascii="Garamond" w:hAnsi="Garamond" w:cstheme="minorHAnsi"/>
          <w:sz w:val="24"/>
          <w:szCs w:val="24"/>
        </w:rPr>
        <w:t xml:space="preserve"> to </w:t>
      </w:r>
      <w:r w:rsidR="001709DE">
        <w:rPr>
          <w:rFonts w:ascii="Garamond" w:hAnsi="Garamond" w:cstheme="minorHAnsi"/>
          <w:sz w:val="24"/>
          <w:szCs w:val="24"/>
        </w:rPr>
        <w:t xml:space="preserve">plan </w:t>
      </w:r>
      <w:r w:rsidR="009E1E8E">
        <w:rPr>
          <w:rFonts w:ascii="Garamond" w:hAnsi="Garamond" w:cstheme="minorHAnsi"/>
          <w:sz w:val="24"/>
          <w:szCs w:val="24"/>
        </w:rPr>
        <w:t xml:space="preserve">to </w:t>
      </w:r>
      <w:r w:rsidR="00CA0D47">
        <w:rPr>
          <w:rFonts w:ascii="Garamond" w:hAnsi="Garamond" w:cstheme="minorHAnsi"/>
          <w:sz w:val="24"/>
          <w:szCs w:val="24"/>
        </w:rPr>
        <w:t xml:space="preserve">mitigate </w:t>
      </w:r>
      <w:r w:rsidR="006A2956">
        <w:rPr>
          <w:rFonts w:ascii="Garamond" w:hAnsi="Garamond" w:cstheme="minorHAnsi"/>
          <w:sz w:val="24"/>
          <w:szCs w:val="24"/>
        </w:rPr>
        <w:t xml:space="preserve">the </w:t>
      </w:r>
      <w:r w:rsidR="00BC2F64">
        <w:rPr>
          <w:rFonts w:ascii="Garamond" w:hAnsi="Garamond" w:cstheme="minorHAnsi"/>
          <w:sz w:val="24"/>
          <w:szCs w:val="24"/>
        </w:rPr>
        <w:t xml:space="preserve">wildfire </w:t>
      </w:r>
      <w:r w:rsidR="000933CD">
        <w:rPr>
          <w:rFonts w:ascii="Garamond" w:hAnsi="Garamond" w:cstheme="minorHAnsi"/>
          <w:sz w:val="24"/>
          <w:szCs w:val="24"/>
        </w:rPr>
        <w:t>risks going</w:t>
      </w:r>
      <w:r w:rsidR="00BC2F64">
        <w:rPr>
          <w:rFonts w:ascii="Garamond" w:hAnsi="Garamond" w:cstheme="minorHAnsi"/>
          <w:sz w:val="24"/>
          <w:szCs w:val="24"/>
        </w:rPr>
        <w:t xml:space="preserve"> </w:t>
      </w:r>
      <w:r>
        <w:rPr>
          <w:rFonts w:ascii="Garamond" w:hAnsi="Garamond" w:cstheme="minorHAnsi"/>
          <w:sz w:val="24"/>
          <w:szCs w:val="24"/>
        </w:rPr>
        <w:t>moving</w:t>
      </w:r>
      <w:r w:rsidR="000933CD">
        <w:rPr>
          <w:rFonts w:ascii="Garamond" w:hAnsi="Garamond" w:cstheme="minorHAnsi"/>
          <w:sz w:val="24"/>
          <w:szCs w:val="24"/>
        </w:rPr>
        <w:t>.</w:t>
      </w:r>
      <w:r>
        <w:rPr>
          <w:rFonts w:ascii="Garamond" w:hAnsi="Garamond" w:cstheme="minorHAnsi"/>
          <w:sz w:val="24"/>
          <w:szCs w:val="24"/>
        </w:rPr>
        <w:t xml:space="preserve"> </w:t>
      </w:r>
    </w:p>
    <w:p w14:paraId="0DE06C8D" w14:textId="77777777" w:rsidR="00023A95" w:rsidRPr="003036B1" w:rsidRDefault="00023A95" w:rsidP="00C115EF">
      <w:pPr>
        <w:rPr>
          <w:rFonts w:ascii="Garamond" w:hAnsi="Garamond" w:cstheme="minorHAnsi"/>
          <w:sz w:val="24"/>
          <w:szCs w:val="24"/>
        </w:rPr>
      </w:pPr>
    </w:p>
    <w:p w14:paraId="7D06B9C2" w14:textId="77777777" w:rsidR="0005045D" w:rsidRPr="00EC688F" w:rsidRDefault="0005045D" w:rsidP="00C115EF">
      <w:pPr>
        <w:spacing w:after="0" w:line="240" w:lineRule="auto"/>
        <w:rPr>
          <w:rFonts w:ascii="Garamond" w:hAnsi="Garamond" w:cstheme="minorHAnsi"/>
          <w:sz w:val="24"/>
          <w:szCs w:val="24"/>
        </w:rPr>
      </w:pPr>
      <w:r w:rsidRPr="00EC688F">
        <w:rPr>
          <w:rFonts w:ascii="Garamond" w:hAnsi="Garamond" w:cstheme="minorHAnsi"/>
          <w:sz w:val="24"/>
          <w:szCs w:val="24"/>
        </w:rPr>
        <w:t>Members of the Wildfire Safety Advisory Board:</w:t>
      </w:r>
    </w:p>
    <w:p w14:paraId="06114583" w14:textId="77777777" w:rsidR="0005045D" w:rsidRPr="00EC688F" w:rsidRDefault="0005045D" w:rsidP="00C115EF">
      <w:pPr>
        <w:pStyle w:val="ListParagraph"/>
        <w:numPr>
          <w:ilvl w:val="0"/>
          <w:numId w:val="49"/>
        </w:numPr>
        <w:spacing w:after="0" w:line="240" w:lineRule="auto"/>
        <w:contextualSpacing w:val="0"/>
        <w:rPr>
          <w:rFonts w:ascii="Garamond" w:hAnsi="Garamond" w:cstheme="minorHAnsi"/>
          <w:sz w:val="24"/>
          <w:szCs w:val="24"/>
        </w:rPr>
      </w:pPr>
      <w:r w:rsidRPr="00EC688F">
        <w:rPr>
          <w:rFonts w:ascii="Garamond" w:hAnsi="Garamond" w:cs="Arial"/>
          <w:color w:val="333333"/>
          <w:sz w:val="24"/>
          <w:szCs w:val="24"/>
          <w:lang w:val="en"/>
        </w:rPr>
        <w:t>Marcie Edwards, Chair</w:t>
      </w:r>
    </w:p>
    <w:p w14:paraId="5FA453C8" w14:textId="77777777" w:rsidR="0005045D" w:rsidRPr="00EC688F" w:rsidRDefault="0005045D" w:rsidP="00C115EF">
      <w:pPr>
        <w:pStyle w:val="ListParagraph"/>
        <w:numPr>
          <w:ilvl w:val="0"/>
          <w:numId w:val="49"/>
        </w:numPr>
        <w:spacing w:after="0" w:line="240" w:lineRule="auto"/>
        <w:contextualSpacing w:val="0"/>
        <w:rPr>
          <w:rFonts w:ascii="Garamond" w:hAnsi="Garamond" w:cstheme="minorHAnsi"/>
          <w:sz w:val="24"/>
          <w:szCs w:val="24"/>
        </w:rPr>
      </w:pPr>
      <w:r w:rsidRPr="00EC688F">
        <w:rPr>
          <w:rFonts w:ascii="Garamond" w:hAnsi="Garamond" w:cs="Arial"/>
          <w:color w:val="333333"/>
          <w:sz w:val="24"/>
          <w:szCs w:val="24"/>
          <w:lang w:val="en"/>
        </w:rPr>
        <w:t>Diane Fellman, Vice Chair</w:t>
      </w:r>
    </w:p>
    <w:p w14:paraId="0B32AA76" w14:textId="77777777" w:rsidR="005667DB" w:rsidRPr="00EC688F" w:rsidRDefault="005667DB" w:rsidP="005667DB">
      <w:pPr>
        <w:pStyle w:val="ListParagraph"/>
        <w:numPr>
          <w:ilvl w:val="0"/>
          <w:numId w:val="49"/>
        </w:numPr>
        <w:spacing w:after="0" w:line="240" w:lineRule="auto"/>
        <w:contextualSpacing w:val="0"/>
        <w:rPr>
          <w:rFonts w:ascii="Garamond" w:hAnsi="Garamond" w:cstheme="minorHAnsi"/>
          <w:sz w:val="24"/>
          <w:szCs w:val="24"/>
        </w:rPr>
      </w:pPr>
      <w:r w:rsidRPr="00EC688F">
        <w:rPr>
          <w:rFonts w:ascii="Garamond" w:hAnsi="Garamond" w:cs="Arial"/>
          <w:color w:val="333333"/>
          <w:sz w:val="24"/>
          <w:szCs w:val="24"/>
          <w:lang w:val="en"/>
        </w:rPr>
        <w:t>Ralph M. Armstrong Jr</w:t>
      </w:r>
      <w:r>
        <w:rPr>
          <w:rFonts w:ascii="Garamond" w:hAnsi="Garamond" w:cs="Arial"/>
          <w:color w:val="333333"/>
          <w:sz w:val="24"/>
          <w:szCs w:val="24"/>
          <w:lang w:val="en"/>
        </w:rPr>
        <w:t>.</w:t>
      </w:r>
      <w:r w:rsidRPr="00EC688F">
        <w:rPr>
          <w:rFonts w:ascii="Garamond" w:hAnsi="Garamond" w:cs="Arial"/>
          <w:color w:val="333333"/>
          <w:sz w:val="24"/>
          <w:szCs w:val="24"/>
          <w:lang w:val="en"/>
        </w:rPr>
        <w:t>, Board Member</w:t>
      </w:r>
    </w:p>
    <w:p w14:paraId="6B5B0440" w14:textId="77777777" w:rsidR="00C60FE1" w:rsidRPr="00EC688F" w:rsidRDefault="00C60FE1" w:rsidP="00C60FE1">
      <w:pPr>
        <w:pStyle w:val="ListParagraph"/>
        <w:numPr>
          <w:ilvl w:val="0"/>
          <w:numId w:val="49"/>
        </w:numPr>
        <w:spacing w:after="0" w:line="240" w:lineRule="auto"/>
        <w:contextualSpacing w:val="0"/>
        <w:rPr>
          <w:rFonts w:ascii="Garamond" w:hAnsi="Garamond" w:cstheme="minorHAnsi"/>
          <w:sz w:val="24"/>
          <w:szCs w:val="24"/>
        </w:rPr>
      </w:pPr>
      <w:r>
        <w:rPr>
          <w:rFonts w:ascii="Garamond" w:hAnsi="Garamond" w:cs="Arial"/>
          <w:color w:val="333333"/>
          <w:sz w:val="24"/>
          <w:szCs w:val="24"/>
          <w:lang w:val="en"/>
        </w:rPr>
        <w:t>Jessica Block, Board Member</w:t>
      </w:r>
    </w:p>
    <w:p w14:paraId="3E2F0B67" w14:textId="77777777" w:rsidR="0005045D" w:rsidRPr="00EC688F" w:rsidRDefault="0005045D" w:rsidP="00C115EF">
      <w:pPr>
        <w:pStyle w:val="ListParagraph"/>
        <w:numPr>
          <w:ilvl w:val="0"/>
          <w:numId w:val="49"/>
        </w:numPr>
        <w:spacing w:after="0" w:line="240" w:lineRule="auto"/>
        <w:contextualSpacing w:val="0"/>
        <w:rPr>
          <w:rFonts w:ascii="Garamond" w:hAnsi="Garamond" w:cstheme="minorHAnsi"/>
          <w:sz w:val="24"/>
          <w:szCs w:val="24"/>
        </w:rPr>
      </w:pPr>
      <w:r w:rsidRPr="00EC688F">
        <w:rPr>
          <w:rFonts w:ascii="Garamond" w:hAnsi="Garamond" w:cs="Arial"/>
          <w:color w:val="333333"/>
          <w:sz w:val="24"/>
          <w:szCs w:val="24"/>
          <w:lang w:val="en"/>
        </w:rPr>
        <w:t>John Mader, Board Member</w:t>
      </w:r>
    </w:p>
    <w:p w14:paraId="3EF1F483" w14:textId="77777777" w:rsidR="00C60FE1" w:rsidRPr="00E2508D" w:rsidRDefault="00C60FE1" w:rsidP="00C60FE1">
      <w:pPr>
        <w:pStyle w:val="ListParagraph"/>
        <w:numPr>
          <w:ilvl w:val="0"/>
          <w:numId w:val="49"/>
        </w:numPr>
        <w:spacing w:after="0" w:line="240" w:lineRule="auto"/>
        <w:contextualSpacing w:val="0"/>
        <w:rPr>
          <w:rFonts w:ascii="Garamond" w:hAnsi="Garamond" w:cstheme="minorHAnsi"/>
          <w:sz w:val="24"/>
          <w:szCs w:val="24"/>
        </w:rPr>
      </w:pPr>
      <w:r w:rsidRPr="00EC688F">
        <w:rPr>
          <w:rFonts w:ascii="Garamond" w:hAnsi="Garamond" w:cs="Arial"/>
          <w:color w:val="333333"/>
          <w:sz w:val="24"/>
          <w:szCs w:val="24"/>
          <w:lang w:val="en"/>
        </w:rPr>
        <w:t>Christopher Porter, Board Member</w:t>
      </w:r>
    </w:p>
    <w:p w14:paraId="2DD54FE7" w14:textId="77777777" w:rsidR="0005045D" w:rsidRPr="00C60FE1" w:rsidRDefault="0005045D" w:rsidP="00C115EF">
      <w:pPr>
        <w:pStyle w:val="ListParagraph"/>
        <w:numPr>
          <w:ilvl w:val="0"/>
          <w:numId w:val="49"/>
        </w:numPr>
        <w:spacing w:after="0" w:line="240" w:lineRule="auto"/>
        <w:contextualSpacing w:val="0"/>
        <w:rPr>
          <w:rFonts w:ascii="Garamond" w:hAnsi="Garamond" w:cstheme="minorHAnsi"/>
          <w:sz w:val="24"/>
          <w:szCs w:val="24"/>
        </w:rPr>
      </w:pPr>
      <w:r w:rsidRPr="00EC688F">
        <w:rPr>
          <w:rFonts w:ascii="Garamond" w:hAnsi="Garamond" w:cs="Arial"/>
          <w:color w:val="333333"/>
          <w:sz w:val="24"/>
          <w:szCs w:val="24"/>
          <w:lang w:val="en"/>
        </w:rPr>
        <w:t>Alexandra Syphard, Board Member</w:t>
      </w:r>
    </w:p>
    <w:p w14:paraId="529929A5" w14:textId="77777777" w:rsidR="0005045D" w:rsidRPr="00EC688F" w:rsidRDefault="0005045D" w:rsidP="00C115EF">
      <w:pPr>
        <w:pStyle w:val="ListParagraph"/>
        <w:spacing w:after="0" w:line="240" w:lineRule="auto"/>
        <w:contextualSpacing w:val="0"/>
        <w:rPr>
          <w:rFonts w:ascii="Garamond" w:hAnsi="Garamond" w:cstheme="minorHAnsi"/>
          <w:sz w:val="24"/>
          <w:szCs w:val="24"/>
        </w:rPr>
      </w:pPr>
    </w:p>
    <w:p w14:paraId="58DF8A2A" w14:textId="62A3F409" w:rsidR="0005045D" w:rsidRPr="00EC688F" w:rsidRDefault="0005045D" w:rsidP="00855C71">
      <w:pPr>
        <w:spacing w:after="0"/>
        <w:rPr>
          <w:rStyle w:val="Hyperlink"/>
          <w:rFonts w:ascii="Garamond" w:hAnsi="Garamond"/>
          <w:color w:val="auto"/>
          <w:sz w:val="24"/>
          <w:szCs w:val="24"/>
          <w:lang w:val="en"/>
        </w:rPr>
      </w:pPr>
      <w:r w:rsidRPr="00EC688F">
        <w:rPr>
          <w:rFonts w:ascii="Garamond" w:hAnsi="Garamond"/>
          <w:sz w:val="24"/>
          <w:szCs w:val="24"/>
          <w:lang w:val="en"/>
        </w:rPr>
        <w:t xml:space="preserve">More information about </w:t>
      </w:r>
      <w:r w:rsidR="004D2506">
        <w:rPr>
          <w:rFonts w:ascii="Garamond" w:hAnsi="Garamond"/>
          <w:sz w:val="24"/>
          <w:szCs w:val="24"/>
          <w:lang w:val="en"/>
        </w:rPr>
        <w:t>Board</w:t>
      </w:r>
      <w:r w:rsidRPr="00EC688F">
        <w:rPr>
          <w:rFonts w:ascii="Garamond" w:hAnsi="Garamond"/>
          <w:sz w:val="24"/>
          <w:szCs w:val="24"/>
          <w:lang w:val="en"/>
        </w:rPr>
        <w:t xml:space="preserve"> Members can be found on the CPUC</w:t>
      </w:r>
      <w:r w:rsidR="004D2506">
        <w:rPr>
          <w:rFonts w:ascii="Garamond" w:hAnsi="Garamond"/>
          <w:sz w:val="24"/>
          <w:szCs w:val="24"/>
          <w:lang w:val="en"/>
        </w:rPr>
        <w:t>’s</w:t>
      </w:r>
      <w:r w:rsidRPr="00EC688F">
        <w:rPr>
          <w:rFonts w:ascii="Garamond" w:hAnsi="Garamond"/>
          <w:sz w:val="24"/>
          <w:szCs w:val="24"/>
          <w:lang w:val="en"/>
        </w:rPr>
        <w:t xml:space="preserve"> Wildfire Safety Advisory Board Website: </w:t>
      </w:r>
      <w:hyperlink r:id="rId12" w:history="1">
        <w:r w:rsidRPr="00EC688F">
          <w:rPr>
            <w:rStyle w:val="Hyperlink"/>
            <w:rFonts w:ascii="Garamond" w:hAnsi="Garamond"/>
            <w:sz w:val="24"/>
            <w:szCs w:val="24"/>
            <w:lang w:val="en"/>
          </w:rPr>
          <w:t>https://www.cpuc.ca.gov/WSAB/</w:t>
        </w:r>
      </w:hyperlink>
      <w:r w:rsidR="005731F9">
        <w:rPr>
          <w:rStyle w:val="Hyperlink"/>
          <w:rFonts w:ascii="Garamond" w:hAnsi="Garamond"/>
          <w:sz w:val="24"/>
          <w:szCs w:val="24"/>
          <w:lang w:val="en"/>
        </w:rPr>
        <w:t>.</w:t>
      </w:r>
    </w:p>
    <w:p w14:paraId="7DDC6AAC" w14:textId="77777777" w:rsidR="003036B1" w:rsidRDefault="003036B1" w:rsidP="00855C71">
      <w:pPr>
        <w:jc w:val="center"/>
        <w:rPr>
          <w:rFonts w:ascii="Garamond" w:hAnsi="Garamond"/>
          <w:b/>
          <w:i/>
          <w:sz w:val="24"/>
          <w:szCs w:val="24"/>
        </w:rPr>
      </w:pPr>
    </w:p>
    <w:p w14:paraId="78627239" w14:textId="77777777" w:rsidR="00023A95" w:rsidRPr="00D27CF3" w:rsidRDefault="00023A95" w:rsidP="00C115EF">
      <w:pPr>
        <w:jc w:val="center"/>
        <w:rPr>
          <w:rFonts w:ascii="Garamond" w:hAnsi="Garamond"/>
          <w:b/>
          <w:i/>
          <w:sz w:val="24"/>
          <w:szCs w:val="24"/>
        </w:rPr>
      </w:pPr>
    </w:p>
    <w:p w14:paraId="59E10605" w14:textId="67B74B9B" w:rsidR="00582FAE" w:rsidRPr="00D27CF3" w:rsidRDefault="00582FAE" w:rsidP="00C115EF">
      <w:pPr>
        <w:jc w:val="center"/>
        <w:rPr>
          <w:rFonts w:ascii="Garamond" w:hAnsi="Garamond"/>
          <w:b/>
          <w:i/>
          <w:sz w:val="24"/>
          <w:szCs w:val="24"/>
        </w:rPr>
      </w:pPr>
      <w:r w:rsidRPr="00D27CF3">
        <w:rPr>
          <w:rFonts w:ascii="Garamond" w:hAnsi="Garamond"/>
          <w:b/>
          <w:i/>
          <w:sz w:val="24"/>
          <w:szCs w:val="24"/>
        </w:rPr>
        <w:t>Acknowledgement</w:t>
      </w:r>
    </w:p>
    <w:p w14:paraId="0604CD04" w14:textId="578D3CAE" w:rsidR="00751AC2" w:rsidRPr="00076ED6" w:rsidRDefault="00F77BBA" w:rsidP="00C115EF">
      <w:pPr>
        <w:rPr>
          <w:rFonts w:ascii="Garamond" w:hAnsi="Garamond"/>
          <w:i/>
          <w:sz w:val="24"/>
          <w:szCs w:val="24"/>
        </w:rPr>
      </w:pPr>
      <w:r w:rsidRPr="006B4E17">
        <w:rPr>
          <w:rFonts w:ascii="Garamond" w:hAnsi="Garamond"/>
          <w:i/>
          <w:sz w:val="24"/>
          <w:szCs w:val="24"/>
        </w:rPr>
        <w:t>These recommendations</w:t>
      </w:r>
      <w:r w:rsidR="00FF6AA4" w:rsidRPr="006B4E17">
        <w:rPr>
          <w:rFonts w:ascii="Garamond" w:hAnsi="Garamond"/>
          <w:i/>
          <w:sz w:val="24"/>
          <w:szCs w:val="24"/>
        </w:rPr>
        <w:t xml:space="preserve"> </w:t>
      </w:r>
      <w:r w:rsidR="00FF6AA4" w:rsidRPr="00143E01">
        <w:rPr>
          <w:rFonts w:ascii="Garamond" w:hAnsi="Garamond"/>
          <w:i/>
          <w:sz w:val="24"/>
          <w:szCs w:val="24"/>
        </w:rPr>
        <w:t xml:space="preserve">have been </w:t>
      </w:r>
      <w:r w:rsidR="00D95929" w:rsidRPr="00143E01">
        <w:rPr>
          <w:rFonts w:ascii="Garamond" w:hAnsi="Garamond"/>
          <w:i/>
          <w:sz w:val="24"/>
          <w:szCs w:val="24"/>
        </w:rPr>
        <w:t xml:space="preserve">developed for </w:t>
      </w:r>
      <w:r w:rsidR="00CC5F50" w:rsidRPr="00143E01">
        <w:rPr>
          <w:rFonts w:ascii="Garamond" w:hAnsi="Garamond"/>
          <w:i/>
          <w:sz w:val="24"/>
          <w:szCs w:val="24"/>
        </w:rPr>
        <w:t xml:space="preserve">adoption </w:t>
      </w:r>
      <w:r w:rsidR="00222C7F" w:rsidRPr="00855C71">
        <w:rPr>
          <w:rFonts w:ascii="Garamond" w:hAnsi="Garamond"/>
          <w:i/>
          <w:sz w:val="24"/>
          <w:szCs w:val="24"/>
        </w:rPr>
        <w:t xml:space="preserve">at the April 15, 2020 </w:t>
      </w:r>
      <w:r w:rsidR="00964A81" w:rsidRPr="00855C71">
        <w:rPr>
          <w:rFonts w:ascii="Garamond" w:hAnsi="Garamond"/>
          <w:i/>
          <w:sz w:val="24"/>
          <w:szCs w:val="24"/>
        </w:rPr>
        <w:t>Wildfire Safety Advisory</w:t>
      </w:r>
      <w:r w:rsidR="00CC5F50" w:rsidRPr="00855C71">
        <w:rPr>
          <w:rFonts w:ascii="Garamond" w:hAnsi="Garamond"/>
          <w:i/>
          <w:sz w:val="24"/>
          <w:szCs w:val="24"/>
        </w:rPr>
        <w:t xml:space="preserve"> Board </w:t>
      </w:r>
      <w:r w:rsidR="00964A81" w:rsidRPr="00855C71">
        <w:rPr>
          <w:rFonts w:ascii="Garamond" w:hAnsi="Garamond"/>
          <w:i/>
          <w:sz w:val="24"/>
          <w:szCs w:val="24"/>
        </w:rPr>
        <w:t xml:space="preserve">Meeting in anticipation of </w:t>
      </w:r>
      <w:r w:rsidR="0004441B" w:rsidRPr="00076ED6">
        <w:rPr>
          <w:rFonts w:ascii="Garamond" w:hAnsi="Garamond"/>
          <w:i/>
          <w:sz w:val="24"/>
          <w:szCs w:val="24"/>
        </w:rPr>
        <w:t xml:space="preserve">the State of California’s upcoming wildfire season. </w:t>
      </w:r>
      <w:r w:rsidR="00EB5C98" w:rsidRPr="00076ED6">
        <w:rPr>
          <w:rFonts w:ascii="Garamond" w:hAnsi="Garamond"/>
          <w:i/>
          <w:sz w:val="24"/>
          <w:szCs w:val="24"/>
        </w:rPr>
        <w:t xml:space="preserve"> </w:t>
      </w:r>
      <w:r w:rsidR="0052141E" w:rsidRPr="00076ED6">
        <w:rPr>
          <w:rFonts w:ascii="Garamond" w:hAnsi="Garamond"/>
          <w:i/>
          <w:sz w:val="24"/>
          <w:szCs w:val="24"/>
        </w:rPr>
        <w:t>T</w:t>
      </w:r>
      <w:r w:rsidR="005952CB" w:rsidRPr="00C115EF">
        <w:rPr>
          <w:rFonts w:ascii="Garamond" w:hAnsi="Garamond"/>
          <w:i/>
          <w:sz w:val="24"/>
          <w:szCs w:val="24"/>
        </w:rPr>
        <w:t xml:space="preserve">he </w:t>
      </w:r>
      <w:r w:rsidR="00511A61" w:rsidRPr="00C115EF">
        <w:rPr>
          <w:rFonts w:ascii="Garamond" w:hAnsi="Garamond"/>
          <w:i/>
          <w:sz w:val="24"/>
          <w:szCs w:val="24"/>
        </w:rPr>
        <w:t>Coronavirus Disease (</w:t>
      </w:r>
      <w:r w:rsidR="00F05997" w:rsidRPr="00C115EF">
        <w:rPr>
          <w:rFonts w:ascii="Garamond" w:hAnsi="Garamond"/>
          <w:i/>
          <w:sz w:val="24"/>
          <w:szCs w:val="24"/>
        </w:rPr>
        <w:t>COVID-19</w:t>
      </w:r>
      <w:r w:rsidR="00511A61" w:rsidRPr="00C115EF">
        <w:rPr>
          <w:rFonts w:ascii="Garamond" w:hAnsi="Garamond"/>
          <w:i/>
          <w:sz w:val="24"/>
          <w:szCs w:val="24"/>
        </w:rPr>
        <w:t>)</w:t>
      </w:r>
      <w:r w:rsidR="00F05997" w:rsidRPr="00C115EF">
        <w:rPr>
          <w:rFonts w:ascii="Garamond" w:hAnsi="Garamond"/>
          <w:i/>
          <w:sz w:val="24"/>
          <w:szCs w:val="24"/>
        </w:rPr>
        <w:t xml:space="preserve"> pandemic</w:t>
      </w:r>
      <w:r w:rsidR="00875A86" w:rsidRPr="00C115EF">
        <w:rPr>
          <w:rFonts w:ascii="Garamond" w:hAnsi="Garamond"/>
          <w:i/>
          <w:sz w:val="24"/>
          <w:szCs w:val="24"/>
        </w:rPr>
        <w:t xml:space="preserve"> </w:t>
      </w:r>
      <w:r w:rsidR="008F1052" w:rsidRPr="00C115EF">
        <w:rPr>
          <w:rFonts w:ascii="Garamond" w:hAnsi="Garamond"/>
          <w:i/>
          <w:sz w:val="24"/>
          <w:szCs w:val="24"/>
        </w:rPr>
        <w:t xml:space="preserve">has altered the course of lives of all </w:t>
      </w:r>
      <w:r w:rsidR="001701BD" w:rsidRPr="00C115EF">
        <w:rPr>
          <w:rFonts w:ascii="Garamond" w:hAnsi="Garamond"/>
          <w:i/>
          <w:sz w:val="24"/>
          <w:szCs w:val="24"/>
        </w:rPr>
        <w:t xml:space="preserve">residents </w:t>
      </w:r>
      <w:r w:rsidR="008F1052" w:rsidRPr="00C115EF">
        <w:rPr>
          <w:rFonts w:ascii="Garamond" w:hAnsi="Garamond"/>
          <w:i/>
          <w:sz w:val="24"/>
          <w:szCs w:val="24"/>
        </w:rPr>
        <w:t xml:space="preserve">in </w:t>
      </w:r>
      <w:r w:rsidR="00F434B1" w:rsidRPr="00C115EF">
        <w:rPr>
          <w:rFonts w:ascii="Garamond" w:hAnsi="Garamond"/>
          <w:i/>
          <w:sz w:val="24"/>
          <w:szCs w:val="24"/>
        </w:rPr>
        <w:t xml:space="preserve">this </w:t>
      </w:r>
      <w:r w:rsidR="008F1052" w:rsidRPr="00C115EF">
        <w:rPr>
          <w:rFonts w:ascii="Garamond" w:hAnsi="Garamond"/>
          <w:i/>
          <w:sz w:val="24"/>
          <w:szCs w:val="24"/>
        </w:rPr>
        <w:t>state and the nation</w:t>
      </w:r>
      <w:r w:rsidR="00935470">
        <w:rPr>
          <w:rFonts w:ascii="Garamond" w:hAnsi="Garamond"/>
          <w:i/>
          <w:sz w:val="24"/>
          <w:szCs w:val="24"/>
        </w:rPr>
        <w:t xml:space="preserve">.  </w:t>
      </w:r>
      <w:r w:rsidR="00964A81" w:rsidRPr="00C115EF">
        <w:rPr>
          <w:rFonts w:ascii="Garamond" w:hAnsi="Garamond"/>
          <w:i/>
          <w:sz w:val="24"/>
          <w:szCs w:val="24"/>
        </w:rPr>
        <w:t xml:space="preserve">Many </w:t>
      </w:r>
      <w:r w:rsidR="004107DE" w:rsidRPr="00C115EF">
        <w:rPr>
          <w:rFonts w:ascii="Garamond" w:hAnsi="Garamond"/>
          <w:i/>
          <w:sz w:val="24"/>
          <w:szCs w:val="24"/>
        </w:rPr>
        <w:t>unprecedented</w:t>
      </w:r>
      <w:r w:rsidR="00964A81" w:rsidRPr="00C115EF">
        <w:rPr>
          <w:rFonts w:ascii="Garamond" w:hAnsi="Garamond"/>
          <w:i/>
          <w:sz w:val="24"/>
          <w:szCs w:val="24"/>
        </w:rPr>
        <w:t xml:space="preserve"> change</w:t>
      </w:r>
      <w:r w:rsidR="0070791E" w:rsidRPr="00C115EF">
        <w:rPr>
          <w:rFonts w:ascii="Garamond" w:hAnsi="Garamond"/>
          <w:i/>
          <w:sz w:val="24"/>
          <w:szCs w:val="24"/>
        </w:rPr>
        <w:t>s have</w:t>
      </w:r>
      <w:r w:rsidR="00964A81" w:rsidRPr="00C115EF">
        <w:rPr>
          <w:rFonts w:ascii="Garamond" w:hAnsi="Garamond"/>
          <w:i/>
          <w:sz w:val="24"/>
          <w:szCs w:val="24"/>
        </w:rPr>
        <w:t xml:space="preserve"> occurred during the conceptualization and drafting of </w:t>
      </w:r>
      <w:r w:rsidR="0070791E" w:rsidRPr="00C115EF">
        <w:rPr>
          <w:rFonts w:ascii="Garamond" w:hAnsi="Garamond"/>
          <w:i/>
          <w:sz w:val="24"/>
          <w:szCs w:val="24"/>
        </w:rPr>
        <w:t xml:space="preserve">this document.  </w:t>
      </w:r>
      <w:r w:rsidR="00EA0A8B" w:rsidRPr="00C115EF">
        <w:rPr>
          <w:rFonts w:ascii="Garamond" w:hAnsi="Garamond"/>
          <w:i/>
          <w:sz w:val="24"/>
          <w:szCs w:val="24"/>
        </w:rPr>
        <w:t>This adds</w:t>
      </w:r>
      <w:r w:rsidR="00964A81" w:rsidRPr="00C115EF">
        <w:rPr>
          <w:rFonts w:ascii="Garamond" w:hAnsi="Garamond"/>
          <w:i/>
          <w:sz w:val="24"/>
          <w:szCs w:val="24"/>
        </w:rPr>
        <w:t xml:space="preserve"> </w:t>
      </w:r>
      <w:r w:rsidR="0050126A" w:rsidRPr="00C115EF">
        <w:rPr>
          <w:rFonts w:ascii="Garamond" w:hAnsi="Garamond"/>
          <w:i/>
          <w:sz w:val="24"/>
          <w:szCs w:val="24"/>
        </w:rPr>
        <w:t>color</w:t>
      </w:r>
      <w:r w:rsidR="00964A81" w:rsidRPr="00C115EF">
        <w:rPr>
          <w:rFonts w:ascii="Garamond" w:hAnsi="Garamond"/>
          <w:i/>
          <w:sz w:val="24"/>
          <w:szCs w:val="24"/>
        </w:rPr>
        <w:t xml:space="preserve"> </w:t>
      </w:r>
      <w:r w:rsidR="00BD0C7E" w:rsidRPr="00C115EF">
        <w:rPr>
          <w:rFonts w:ascii="Garamond" w:hAnsi="Garamond"/>
          <w:i/>
          <w:sz w:val="24"/>
          <w:szCs w:val="24"/>
        </w:rPr>
        <w:t>to the exp</w:t>
      </w:r>
      <w:r w:rsidR="009A0E3E" w:rsidRPr="00C115EF">
        <w:rPr>
          <w:rFonts w:ascii="Garamond" w:hAnsi="Garamond"/>
          <w:i/>
          <w:sz w:val="24"/>
          <w:szCs w:val="24"/>
        </w:rPr>
        <w:t>eriences of Californians impacted by wildfire</w:t>
      </w:r>
      <w:r w:rsidR="009512B0">
        <w:rPr>
          <w:rFonts w:ascii="Garamond" w:hAnsi="Garamond"/>
          <w:i/>
          <w:sz w:val="24"/>
          <w:szCs w:val="24"/>
        </w:rPr>
        <w:t>s</w:t>
      </w:r>
      <w:r w:rsidR="009A0E3E" w:rsidRPr="00855C71">
        <w:rPr>
          <w:rFonts w:ascii="Garamond" w:hAnsi="Garamond"/>
          <w:i/>
          <w:sz w:val="24"/>
          <w:szCs w:val="24"/>
        </w:rPr>
        <w:t xml:space="preserve"> and reaffirms our commitment to </w:t>
      </w:r>
      <w:r w:rsidR="007403D9" w:rsidRPr="00855C71">
        <w:rPr>
          <w:rFonts w:ascii="Garamond" w:hAnsi="Garamond"/>
          <w:i/>
          <w:sz w:val="24"/>
          <w:szCs w:val="24"/>
        </w:rPr>
        <w:t xml:space="preserve">work collaboratively </w:t>
      </w:r>
      <w:r w:rsidR="00752D20" w:rsidRPr="00855C71">
        <w:rPr>
          <w:rFonts w:ascii="Garamond" w:hAnsi="Garamond"/>
          <w:i/>
          <w:sz w:val="24"/>
          <w:szCs w:val="24"/>
        </w:rPr>
        <w:t>for the benefit of all members of our great state</w:t>
      </w:r>
      <w:r w:rsidR="008A2652" w:rsidRPr="00855C71">
        <w:rPr>
          <w:rFonts w:ascii="Garamond" w:hAnsi="Garamond"/>
          <w:i/>
          <w:sz w:val="24"/>
          <w:szCs w:val="24"/>
        </w:rPr>
        <w:t>.</w:t>
      </w:r>
      <w:r w:rsidR="00752D20" w:rsidRPr="00076ED6">
        <w:rPr>
          <w:rFonts w:ascii="Garamond" w:hAnsi="Garamond"/>
          <w:i/>
          <w:sz w:val="24"/>
          <w:szCs w:val="24"/>
        </w:rPr>
        <w:t xml:space="preserve"> </w:t>
      </w:r>
    </w:p>
    <w:p w14:paraId="79908206" w14:textId="66565ED4" w:rsidR="00875A86" w:rsidRPr="00C115EF" w:rsidRDefault="00B23CFC" w:rsidP="00C115EF">
      <w:pPr>
        <w:spacing w:line="240" w:lineRule="auto"/>
        <w:rPr>
          <w:rFonts w:ascii="Garamond" w:hAnsi="Garamond" w:cstheme="minorHAnsi"/>
          <w:i/>
          <w:sz w:val="24"/>
          <w:szCs w:val="24"/>
        </w:rPr>
      </w:pPr>
      <w:r w:rsidRPr="00076ED6">
        <w:rPr>
          <w:rFonts w:ascii="Garamond" w:hAnsi="Garamond"/>
          <w:i/>
          <w:sz w:val="24"/>
          <w:szCs w:val="24"/>
        </w:rPr>
        <w:t xml:space="preserve">We want to </w:t>
      </w:r>
      <w:r w:rsidR="00751AC2" w:rsidRPr="00C115EF">
        <w:rPr>
          <w:rFonts w:ascii="Garamond" w:hAnsi="Garamond"/>
          <w:i/>
          <w:sz w:val="24"/>
          <w:szCs w:val="24"/>
        </w:rPr>
        <w:t xml:space="preserve">acknowledge </w:t>
      </w:r>
      <w:r w:rsidR="008A2652" w:rsidRPr="00C115EF">
        <w:rPr>
          <w:rFonts w:ascii="Garamond" w:hAnsi="Garamond"/>
          <w:i/>
          <w:sz w:val="24"/>
          <w:szCs w:val="24"/>
        </w:rPr>
        <w:t>and thank</w:t>
      </w:r>
      <w:r w:rsidR="00751AC2" w:rsidRPr="00C115EF">
        <w:rPr>
          <w:rFonts w:ascii="Garamond" w:hAnsi="Garamond"/>
          <w:i/>
          <w:sz w:val="24"/>
          <w:szCs w:val="24"/>
        </w:rPr>
        <w:t xml:space="preserve"> the civil servants of the State of California who continue to work for the benefit of </w:t>
      </w:r>
      <w:r w:rsidR="00BF2286" w:rsidRPr="00C115EF">
        <w:rPr>
          <w:rFonts w:ascii="Garamond" w:hAnsi="Garamond"/>
          <w:i/>
          <w:sz w:val="24"/>
          <w:szCs w:val="24"/>
        </w:rPr>
        <w:t xml:space="preserve">us all during this </w:t>
      </w:r>
      <w:r w:rsidR="008A2652" w:rsidRPr="00C115EF">
        <w:rPr>
          <w:rFonts w:ascii="Garamond" w:hAnsi="Garamond"/>
          <w:i/>
          <w:sz w:val="24"/>
          <w:szCs w:val="24"/>
        </w:rPr>
        <w:t xml:space="preserve">tumultuous </w:t>
      </w:r>
      <w:r w:rsidR="00BF2286" w:rsidRPr="00C115EF">
        <w:rPr>
          <w:rFonts w:ascii="Garamond" w:hAnsi="Garamond"/>
          <w:i/>
          <w:sz w:val="24"/>
          <w:szCs w:val="24"/>
        </w:rPr>
        <w:t>time</w:t>
      </w:r>
      <w:r w:rsidR="00AB5299" w:rsidRPr="00C115EF">
        <w:rPr>
          <w:rFonts w:ascii="Garamond" w:hAnsi="Garamond"/>
          <w:i/>
          <w:sz w:val="24"/>
          <w:szCs w:val="24"/>
        </w:rPr>
        <w:t>.  Our gratitude extends to our emergency and essential services work</w:t>
      </w:r>
      <w:r w:rsidR="00D64198" w:rsidRPr="00C115EF">
        <w:rPr>
          <w:rFonts w:ascii="Garamond" w:hAnsi="Garamond"/>
          <w:i/>
          <w:sz w:val="24"/>
          <w:szCs w:val="24"/>
        </w:rPr>
        <w:t>er</w:t>
      </w:r>
      <w:r w:rsidR="00AB5299" w:rsidRPr="00C115EF">
        <w:rPr>
          <w:rFonts w:ascii="Garamond" w:hAnsi="Garamond"/>
          <w:i/>
          <w:sz w:val="24"/>
          <w:szCs w:val="24"/>
        </w:rPr>
        <w:t xml:space="preserve">s who, </w:t>
      </w:r>
      <w:r w:rsidR="00875A86" w:rsidRPr="00C115EF">
        <w:rPr>
          <w:rFonts w:ascii="Garamond" w:hAnsi="Garamond" w:cstheme="minorHAnsi"/>
          <w:i/>
          <w:sz w:val="24"/>
          <w:szCs w:val="24"/>
        </w:rPr>
        <w:t>every day, help our society move forward</w:t>
      </w:r>
      <w:r w:rsidR="002266E1" w:rsidRPr="00C115EF">
        <w:rPr>
          <w:rFonts w:ascii="Garamond" w:hAnsi="Garamond" w:cstheme="minorHAnsi"/>
          <w:i/>
          <w:sz w:val="24"/>
          <w:szCs w:val="24"/>
        </w:rPr>
        <w:t xml:space="preserve">: </w:t>
      </w:r>
      <w:r w:rsidR="00AB5299" w:rsidRPr="00C115EF">
        <w:rPr>
          <w:rFonts w:ascii="Garamond" w:hAnsi="Garamond" w:cstheme="minorHAnsi"/>
          <w:i/>
          <w:sz w:val="24"/>
          <w:szCs w:val="24"/>
        </w:rPr>
        <w:t xml:space="preserve">our nurses, </w:t>
      </w:r>
      <w:r w:rsidR="00B76347" w:rsidRPr="00C115EF">
        <w:rPr>
          <w:rFonts w:ascii="Garamond" w:hAnsi="Garamond" w:cstheme="minorHAnsi"/>
          <w:i/>
          <w:sz w:val="24"/>
          <w:szCs w:val="24"/>
        </w:rPr>
        <w:t>d</w:t>
      </w:r>
      <w:r w:rsidR="00AB5299" w:rsidRPr="00C115EF">
        <w:rPr>
          <w:rFonts w:ascii="Garamond" w:hAnsi="Garamond" w:cstheme="minorHAnsi"/>
          <w:i/>
          <w:sz w:val="24"/>
          <w:szCs w:val="24"/>
        </w:rPr>
        <w:t xml:space="preserve">octors, </w:t>
      </w:r>
      <w:r w:rsidR="00B76347" w:rsidRPr="00C115EF">
        <w:rPr>
          <w:rFonts w:ascii="Garamond" w:hAnsi="Garamond" w:cstheme="minorHAnsi"/>
          <w:i/>
          <w:sz w:val="24"/>
          <w:szCs w:val="24"/>
        </w:rPr>
        <w:t xml:space="preserve">hospital professionals in all departments, </w:t>
      </w:r>
      <w:r w:rsidR="00AB5299" w:rsidRPr="00C115EF">
        <w:rPr>
          <w:rFonts w:ascii="Garamond" w:hAnsi="Garamond" w:cstheme="minorHAnsi"/>
          <w:i/>
          <w:sz w:val="24"/>
          <w:szCs w:val="24"/>
        </w:rPr>
        <w:t>grocer</w:t>
      </w:r>
      <w:r w:rsidR="006C2C33" w:rsidRPr="00C115EF">
        <w:rPr>
          <w:rFonts w:ascii="Garamond" w:hAnsi="Garamond" w:cstheme="minorHAnsi"/>
          <w:i/>
          <w:sz w:val="24"/>
          <w:szCs w:val="24"/>
        </w:rPr>
        <w:t xml:space="preserve">s, farmers, </w:t>
      </w:r>
      <w:r w:rsidR="000310C2" w:rsidRPr="00C115EF">
        <w:rPr>
          <w:rFonts w:ascii="Garamond" w:hAnsi="Garamond" w:cstheme="minorHAnsi"/>
          <w:i/>
          <w:sz w:val="24"/>
          <w:szCs w:val="24"/>
        </w:rPr>
        <w:t xml:space="preserve">goods </w:t>
      </w:r>
      <w:r w:rsidR="00964A81" w:rsidRPr="00C115EF">
        <w:rPr>
          <w:rFonts w:ascii="Garamond" w:hAnsi="Garamond"/>
          <w:i/>
          <w:sz w:val="24"/>
          <w:szCs w:val="24"/>
        </w:rPr>
        <w:t>movers</w:t>
      </w:r>
      <w:r w:rsidR="000310C2" w:rsidRPr="00C115EF">
        <w:rPr>
          <w:rFonts w:ascii="Garamond" w:hAnsi="Garamond"/>
          <w:i/>
          <w:sz w:val="24"/>
          <w:szCs w:val="24"/>
        </w:rPr>
        <w:t xml:space="preserve">, </w:t>
      </w:r>
      <w:r w:rsidR="00B070AC" w:rsidRPr="00C115EF">
        <w:rPr>
          <w:rFonts w:ascii="Garamond" w:hAnsi="Garamond"/>
          <w:i/>
          <w:sz w:val="24"/>
          <w:szCs w:val="24"/>
        </w:rPr>
        <w:t xml:space="preserve">mail providers, </w:t>
      </w:r>
      <w:r w:rsidR="000F77A6" w:rsidRPr="00C115EF">
        <w:rPr>
          <w:rFonts w:ascii="Garamond" w:hAnsi="Garamond"/>
          <w:i/>
          <w:sz w:val="24"/>
          <w:szCs w:val="24"/>
        </w:rPr>
        <w:t xml:space="preserve">custodians, </w:t>
      </w:r>
      <w:r w:rsidR="007D0E20" w:rsidRPr="00C115EF">
        <w:rPr>
          <w:rFonts w:ascii="Garamond" w:hAnsi="Garamond"/>
          <w:i/>
          <w:sz w:val="24"/>
          <w:szCs w:val="24"/>
        </w:rPr>
        <w:t xml:space="preserve">and </w:t>
      </w:r>
      <w:r w:rsidR="0003230F" w:rsidRPr="00C115EF">
        <w:rPr>
          <w:rFonts w:ascii="Garamond" w:hAnsi="Garamond"/>
          <w:i/>
          <w:sz w:val="24"/>
          <w:szCs w:val="24"/>
        </w:rPr>
        <w:t xml:space="preserve">water </w:t>
      </w:r>
      <w:r w:rsidR="00CE0DCC" w:rsidRPr="00C115EF">
        <w:rPr>
          <w:rFonts w:ascii="Garamond" w:hAnsi="Garamond"/>
          <w:i/>
          <w:sz w:val="24"/>
          <w:szCs w:val="24"/>
        </w:rPr>
        <w:t>system professionals</w:t>
      </w:r>
      <w:r w:rsidR="002266E1" w:rsidRPr="00C115EF">
        <w:rPr>
          <w:rFonts w:ascii="Garamond" w:hAnsi="Garamond"/>
          <w:i/>
          <w:sz w:val="24"/>
          <w:szCs w:val="24"/>
        </w:rPr>
        <w:t>.</w:t>
      </w:r>
      <w:r w:rsidR="00CE0DCC" w:rsidRPr="00C115EF">
        <w:rPr>
          <w:rFonts w:ascii="Garamond" w:hAnsi="Garamond"/>
          <w:i/>
          <w:sz w:val="24"/>
          <w:szCs w:val="24"/>
        </w:rPr>
        <w:t xml:space="preserve"> </w:t>
      </w:r>
    </w:p>
    <w:p w14:paraId="5134DF88" w14:textId="2ADDD455" w:rsidR="0050126A" w:rsidRPr="00C115EF" w:rsidRDefault="0050126A" w:rsidP="00855C71">
      <w:pPr>
        <w:spacing w:after="0" w:line="240" w:lineRule="auto"/>
        <w:rPr>
          <w:rFonts w:ascii="Garamond" w:hAnsi="Garamond" w:cstheme="minorHAnsi"/>
          <w:i/>
        </w:rPr>
      </w:pPr>
      <w:r w:rsidRPr="00C115EF">
        <w:rPr>
          <w:rFonts w:ascii="Garamond" w:hAnsi="Garamond" w:cstheme="minorHAnsi"/>
          <w:i/>
          <w:sz w:val="24"/>
          <w:szCs w:val="24"/>
        </w:rPr>
        <w:t>The Board recognizes the dedication of our staff, Jamie Ormond and Katherine Stockton, who have gone above and beyond in these challenging circumstances and timelines to organize the Board’s start-up effort and pull together the input of its members into a cohesive, comprehensible document.</w:t>
      </w:r>
    </w:p>
    <w:p w14:paraId="64B802C9" w14:textId="77777777" w:rsidR="00B23CFC" w:rsidRPr="00C115EF" w:rsidRDefault="00B23CFC" w:rsidP="00855C71">
      <w:pPr>
        <w:spacing w:after="0" w:line="240" w:lineRule="auto"/>
        <w:rPr>
          <w:rFonts w:ascii="Garamond" w:hAnsi="Garamond" w:cstheme="minorHAnsi"/>
          <w:i/>
        </w:rPr>
      </w:pPr>
    </w:p>
    <w:p w14:paraId="6F44D472" w14:textId="2E09EE55" w:rsidR="0073065E" w:rsidRPr="00EC688F" w:rsidRDefault="00E62828" w:rsidP="00855C71">
      <w:pPr>
        <w:spacing w:after="0" w:line="240" w:lineRule="auto"/>
        <w:rPr>
          <w:rFonts w:ascii="Garamond" w:hAnsi="Garamond" w:cstheme="minorHAnsi"/>
          <w:sz w:val="24"/>
          <w:szCs w:val="24"/>
        </w:rPr>
      </w:pPr>
      <w:r>
        <w:rPr>
          <w:rFonts w:ascii="Garamond" w:hAnsi="Garamond" w:cstheme="minorHAnsi"/>
          <w:sz w:val="24"/>
          <w:szCs w:val="24"/>
        </w:rPr>
        <w:t xml:space="preserve"> </w:t>
      </w:r>
    </w:p>
    <w:p w14:paraId="3F3941A4" w14:textId="77777777" w:rsidR="002967E9" w:rsidRDefault="002967E9" w:rsidP="002967E9">
      <w:pPr>
        <w:spacing w:after="0"/>
        <w:rPr>
          <w:rFonts w:ascii="Garamond" w:hAnsi="Garamond"/>
          <w:sz w:val="24"/>
          <w:szCs w:val="24"/>
        </w:rPr>
      </w:pPr>
    </w:p>
    <w:p w14:paraId="33C9C29C" w14:textId="77777777" w:rsidR="007D26CF" w:rsidRPr="00143D8A" w:rsidRDefault="007D26CF" w:rsidP="007D26CF">
      <w:pPr>
        <w:pStyle w:val="ListParagraph"/>
        <w:numPr>
          <w:ilvl w:val="0"/>
          <w:numId w:val="5"/>
        </w:numPr>
        <w:contextualSpacing w:val="0"/>
        <w:rPr>
          <w:rFonts w:ascii="Century Gothic" w:hAnsi="Century Gothic" w:cstheme="minorHAnsi"/>
        </w:rPr>
      </w:pPr>
      <w:r w:rsidRPr="00143D8A">
        <w:rPr>
          <w:rFonts w:ascii="Century Gothic" w:hAnsi="Century Gothic" w:cstheme="minorHAnsi"/>
        </w:rPr>
        <w:t>Introduction</w:t>
      </w:r>
    </w:p>
    <w:p w14:paraId="0E3BF3AF" w14:textId="1E6DDB18" w:rsidR="003D4259" w:rsidRDefault="00C0031D" w:rsidP="00C115EF">
      <w:pPr>
        <w:rPr>
          <w:rFonts w:ascii="Garamond" w:hAnsi="Garamond"/>
          <w:sz w:val="24"/>
          <w:szCs w:val="24"/>
        </w:rPr>
      </w:pPr>
      <w:r w:rsidRPr="00D27CF3">
        <w:rPr>
          <w:rFonts w:ascii="Garamond" w:hAnsi="Garamond"/>
          <w:sz w:val="24"/>
          <w:szCs w:val="24"/>
          <w:lang w:val="en"/>
        </w:rPr>
        <w:t xml:space="preserve">Wildfire season is a part of California’s history and will continue to be.  </w:t>
      </w:r>
      <w:r w:rsidR="00B23CFC">
        <w:rPr>
          <w:rFonts w:ascii="Garamond" w:hAnsi="Garamond"/>
          <w:sz w:val="24"/>
          <w:szCs w:val="24"/>
        </w:rPr>
        <w:t>The Wildfire Safety Advisory Board’s (</w:t>
      </w:r>
      <w:r w:rsidR="007E0BAB">
        <w:rPr>
          <w:rFonts w:ascii="Garamond" w:hAnsi="Garamond"/>
          <w:sz w:val="24"/>
          <w:szCs w:val="24"/>
        </w:rPr>
        <w:t>the</w:t>
      </w:r>
      <w:r w:rsidR="00B23CFC">
        <w:rPr>
          <w:rFonts w:ascii="Garamond" w:hAnsi="Garamond"/>
          <w:sz w:val="24"/>
          <w:szCs w:val="24"/>
        </w:rPr>
        <w:t xml:space="preserve"> Board) goal </w:t>
      </w:r>
      <w:r w:rsidR="003D4259">
        <w:rPr>
          <w:rFonts w:ascii="Garamond" w:hAnsi="Garamond"/>
          <w:sz w:val="24"/>
          <w:szCs w:val="24"/>
        </w:rPr>
        <w:t xml:space="preserve">is to assist </w:t>
      </w:r>
      <w:r w:rsidR="00F17D1A">
        <w:rPr>
          <w:rFonts w:ascii="Garamond" w:hAnsi="Garamond"/>
          <w:sz w:val="24"/>
          <w:szCs w:val="24"/>
        </w:rPr>
        <w:t xml:space="preserve">the </w:t>
      </w:r>
      <w:r w:rsidR="003D4259">
        <w:rPr>
          <w:rFonts w:ascii="Garamond" w:hAnsi="Garamond"/>
          <w:sz w:val="24"/>
          <w:szCs w:val="24"/>
        </w:rPr>
        <w:t xml:space="preserve">California Public Utilities Commission’s </w:t>
      </w:r>
      <w:r w:rsidR="00F17D1A">
        <w:rPr>
          <w:rFonts w:ascii="Garamond" w:hAnsi="Garamond"/>
          <w:sz w:val="24"/>
          <w:szCs w:val="24"/>
        </w:rPr>
        <w:t xml:space="preserve">(CPUC) </w:t>
      </w:r>
      <w:r w:rsidR="003D4259">
        <w:rPr>
          <w:rFonts w:ascii="Garamond" w:hAnsi="Garamond"/>
          <w:sz w:val="24"/>
          <w:szCs w:val="24"/>
        </w:rPr>
        <w:t>Wildfire Safety Division as they provide direction to the utilities.</w:t>
      </w:r>
      <w:r w:rsidR="0097749B">
        <w:rPr>
          <w:rFonts w:ascii="Garamond" w:hAnsi="Garamond"/>
          <w:sz w:val="24"/>
          <w:szCs w:val="24"/>
        </w:rPr>
        <w:t xml:space="preserve"> </w:t>
      </w:r>
      <w:r w:rsidR="003D4259">
        <w:rPr>
          <w:rFonts w:ascii="Garamond" w:hAnsi="Garamond"/>
          <w:sz w:val="24"/>
          <w:szCs w:val="24"/>
        </w:rPr>
        <w:t xml:space="preserve"> </w:t>
      </w:r>
      <w:r w:rsidR="00A057DD">
        <w:rPr>
          <w:rFonts w:ascii="Garamond" w:hAnsi="Garamond"/>
          <w:sz w:val="24"/>
          <w:szCs w:val="24"/>
        </w:rPr>
        <w:t xml:space="preserve">The </w:t>
      </w:r>
      <w:r w:rsidR="003D4259">
        <w:rPr>
          <w:rFonts w:ascii="Garamond" w:hAnsi="Garamond"/>
          <w:sz w:val="24"/>
          <w:szCs w:val="24"/>
        </w:rPr>
        <w:t xml:space="preserve">Wildfire Safety Division has </w:t>
      </w:r>
      <w:r w:rsidR="00A15EC0">
        <w:rPr>
          <w:rFonts w:ascii="Garamond" w:hAnsi="Garamond"/>
          <w:sz w:val="24"/>
          <w:szCs w:val="24"/>
        </w:rPr>
        <w:t xml:space="preserve">been given </w:t>
      </w:r>
      <w:r w:rsidR="003D4259">
        <w:rPr>
          <w:rFonts w:ascii="Garamond" w:hAnsi="Garamond"/>
          <w:sz w:val="24"/>
          <w:szCs w:val="24"/>
        </w:rPr>
        <w:t xml:space="preserve">the task of considering </w:t>
      </w:r>
      <w:r w:rsidR="009F25B7">
        <w:rPr>
          <w:rFonts w:ascii="Garamond" w:hAnsi="Garamond"/>
          <w:sz w:val="24"/>
          <w:szCs w:val="24"/>
        </w:rPr>
        <w:t xml:space="preserve">and giving the utilities feedback on </w:t>
      </w:r>
      <w:r w:rsidR="003D4259">
        <w:rPr>
          <w:rFonts w:ascii="Garamond" w:hAnsi="Garamond"/>
          <w:sz w:val="24"/>
          <w:szCs w:val="24"/>
        </w:rPr>
        <w:t xml:space="preserve">all of the investor owned </w:t>
      </w:r>
      <w:r w:rsidR="00B730B1">
        <w:rPr>
          <w:rFonts w:ascii="Garamond" w:hAnsi="Garamond"/>
          <w:sz w:val="24"/>
          <w:szCs w:val="24"/>
        </w:rPr>
        <w:t xml:space="preserve">utilities’ </w:t>
      </w:r>
      <w:r w:rsidR="003D4259">
        <w:rPr>
          <w:rFonts w:ascii="Garamond" w:hAnsi="Garamond"/>
          <w:sz w:val="24"/>
          <w:szCs w:val="24"/>
        </w:rPr>
        <w:t xml:space="preserve">2020 </w:t>
      </w:r>
      <w:r w:rsidR="00974778">
        <w:rPr>
          <w:rFonts w:ascii="Garamond" w:hAnsi="Garamond"/>
          <w:sz w:val="24"/>
          <w:szCs w:val="24"/>
        </w:rPr>
        <w:t>W</w:t>
      </w:r>
      <w:r w:rsidR="003D4259">
        <w:rPr>
          <w:rFonts w:ascii="Garamond" w:hAnsi="Garamond"/>
          <w:sz w:val="24"/>
          <w:szCs w:val="24"/>
        </w:rPr>
        <w:t xml:space="preserve">ildfire </w:t>
      </w:r>
      <w:r w:rsidR="00974778">
        <w:rPr>
          <w:rFonts w:ascii="Garamond" w:hAnsi="Garamond"/>
          <w:sz w:val="24"/>
          <w:szCs w:val="24"/>
        </w:rPr>
        <w:t>M</w:t>
      </w:r>
      <w:r w:rsidR="003D4259">
        <w:rPr>
          <w:rFonts w:ascii="Garamond" w:hAnsi="Garamond"/>
          <w:sz w:val="24"/>
          <w:szCs w:val="24"/>
        </w:rPr>
        <w:t xml:space="preserve">itigation </w:t>
      </w:r>
      <w:r w:rsidR="00974778">
        <w:rPr>
          <w:rFonts w:ascii="Garamond" w:hAnsi="Garamond"/>
          <w:sz w:val="24"/>
          <w:szCs w:val="24"/>
        </w:rPr>
        <w:t>P</w:t>
      </w:r>
      <w:r w:rsidR="003D4259">
        <w:rPr>
          <w:rFonts w:ascii="Garamond" w:hAnsi="Garamond"/>
          <w:sz w:val="24"/>
          <w:szCs w:val="24"/>
        </w:rPr>
        <w:t>lans</w:t>
      </w:r>
      <w:r w:rsidR="00974778">
        <w:rPr>
          <w:rFonts w:ascii="Garamond" w:hAnsi="Garamond"/>
          <w:sz w:val="24"/>
          <w:szCs w:val="24"/>
        </w:rPr>
        <w:t xml:space="preserve"> (WMP)</w:t>
      </w:r>
      <w:r w:rsidR="003D4259">
        <w:rPr>
          <w:rFonts w:ascii="Garamond" w:hAnsi="Garamond"/>
          <w:sz w:val="24"/>
          <w:szCs w:val="24"/>
        </w:rPr>
        <w:t xml:space="preserve">. </w:t>
      </w:r>
      <w:r w:rsidR="0097749B">
        <w:rPr>
          <w:rFonts w:ascii="Garamond" w:hAnsi="Garamond"/>
          <w:sz w:val="24"/>
          <w:szCs w:val="24"/>
        </w:rPr>
        <w:t xml:space="preserve"> </w:t>
      </w:r>
      <w:r w:rsidR="003D4259">
        <w:rPr>
          <w:rFonts w:ascii="Garamond" w:hAnsi="Garamond"/>
          <w:sz w:val="24"/>
          <w:szCs w:val="24"/>
        </w:rPr>
        <w:t xml:space="preserve">The magnitude and significance of this endeavor cannot go unstated.  Human life, utility infrastructure, and California’s future development depend on utilities and the natural environment coexisting more harmoniously in the future. </w:t>
      </w:r>
    </w:p>
    <w:p w14:paraId="6C8919D4" w14:textId="490961E9" w:rsidR="0091768E" w:rsidRDefault="00974778" w:rsidP="00C115EF">
      <w:pPr>
        <w:rPr>
          <w:rFonts w:ascii="Garamond" w:hAnsi="Garamond" w:cstheme="minorHAnsi"/>
          <w:sz w:val="24"/>
          <w:szCs w:val="24"/>
        </w:rPr>
      </w:pPr>
      <w:r w:rsidRPr="00C80A7D">
        <w:rPr>
          <w:rFonts w:ascii="Garamond" w:hAnsi="Garamond" w:cstheme="minorHAnsi"/>
          <w:sz w:val="24"/>
          <w:szCs w:val="24"/>
        </w:rPr>
        <w:t xml:space="preserve">These recommendations </w:t>
      </w:r>
      <w:r w:rsidR="00123357">
        <w:rPr>
          <w:rFonts w:ascii="Garamond" w:hAnsi="Garamond" w:cstheme="minorHAnsi"/>
          <w:sz w:val="24"/>
          <w:szCs w:val="24"/>
        </w:rPr>
        <w:t>do</w:t>
      </w:r>
      <w:r w:rsidRPr="00C80A7D">
        <w:rPr>
          <w:rFonts w:ascii="Garamond" w:hAnsi="Garamond" w:cstheme="minorHAnsi"/>
          <w:sz w:val="24"/>
          <w:szCs w:val="24"/>
        </w:rPr>
        <w:t xml:space="preserve"> not </w:t>
      </w:r>
      <w:r w:rsidR="00123357">
        <w:rPr>
          <w:rFonts w:ascii="Garamond" w:hAnsi="Garamond" w:cstheme="minorHAnsi"/>
          <w:sz w:val="24"/>
          <w:szCs w:val="24"/>
        </w:rPr>
        <w:t>request</w:t>
      </w:r>
      <w:r w:rsidRPr="00C80A7D">
        <w:rPr>
          <w:rFonts w:ascii="Garamond" w:hAnsi="Garamond" w:cstheme="minorHAnsi"/>
          <w:sz w:val="24"/>
          <w:szCs w:val="24"/>
        </w:rPr>
        <w:t xml:space="preserve"> that the utilities resubmit documents related to their 2020 WMPs. </w:t>
      </w:r>
      <w:r w:rsidR="0050695C">
        <w:rPr>
          <w:rFonts w:ascii="Garamond" w:hAnsi="Garamond" w:cstheme="minorHAnsi"/>
          <w:sz w:val="24"/>
          <w:szCs w:val="24"/>
        </w:rPr>
        <w:t xml:space="preserve"> </w:t>
      </w:r>
      <w:r w:rsidRPr="00C80A7D">
        <w:rPr>
          <w:rFonts w:ascii="Garamond" w:hAnsi="Garamond" w:cstheme="minorHAnsi"/>
          <w:sz w:val="24"/>
          <w:szCs w:val="24"/>
        </w:rPr>
        <w:t>The Board intends that these recommendations be considered additive</w:t>
      </w:r>
      <w:r w:rsidR="00123357">
        <w:rPr>
          <w:rFonts w:ascii="Garamond" w:hAnsi="Garamond" w:cstheme="minorHAnsi"/>
          <w:sz w:val="24"/>
          <w:szCs w:val="24"/>
        </w:rPr>
        <w:t xml:space="preserve"> guidance in consideration of the 2021 WMPs currently under development</w:t>
      </w:r>
      <w:r w:rsidRPr="00C80A7D">
        <w:rPr>
          <w:rFonts w:ascii="Garamond" w:hAnsi="Garamond" w:cstheme="minorHAnsi"/>
          <w:sz w:val="24"/>
          <w:szCs w:val="24"/>
        </w:rPr>
        <w:t xml:space="preserve">. </w:t>
      </w:r>
    </w:p>
    <w:p w14:paraId="4044CEE4" w14:textId="30F7AA24" w:rsidR="005D11F2" w:rsidRDefault="003D4259" w:rsidP="007D26CF">
      <w:pPr>
        <w:rPr>
          <w:rFonts w:ascii="Garamond" w:hAnsi="Garamond"/>
          <w:sz w:val="24"/>
          <w:szCs w:val="24"/>
        </w:rPr>
      </w:pPr>
      <w:r>
        <w:rPr>
          <w:rFonts w:ascii="Garamond" w:hAnsi="Garamond"/>
          <w:sz w:val="24"/>
          <w:szCs w:val="24"/>
        </w:rPr>
        <w:t xml:space="preserve">Given the timeframe and criticality of these recommendations, </w:t>
      </w:r>
      <w:r w:rsidRPr="00AA364C">
        <w:rPr>
          <w:rFonts w:ascii="Garamond" w:hAnsi="Garamond"/>
          <w:sz w:val="24"/>
          <w:szCs w:val="24"/>
        </w:rPr>
        <w:t>the</w:t>
      </w:r>
      <w:r w:rsidR="00B23CFC" w:rsidRPr="00AA364C">
        <w:rPr>
          <w:rFonts w:ascii="Garamond" w:hAnsi="Garamond"/>
          <w:sz w:val="24"/>
          <w:szCs w:val="24"/>
        </w:rPr>
        <w:t xml:space="preserve"> Board </w:t>
      </w:r>
      <w:r w:rsidRPr="00AA364C">
        <w:rPr>
          <w:rFonts w:ascii="Garamond" w:hAnsi="Garamond"/>
          <w:sz w:val="24"/>
          <w:szCs w:val="24"/>
        </w:rPr>
        <w:t>focused</w:t>
      </w:r>
      <w:r>
        <w:rPr>
          <w:rFonts w:ascii="Garamond" w:hAnsi="Garamond"/>
          <w:sz w:val="24"/>
          <w:szCs w:val="24"/>
        </w:rPr>
        <w:t xml:space="preserve"> on the three big investor owned utilities, Pacific Gas &amp; Electric</w:t>
      </w:r>
      <w:r w:rsidR="004E035F">
        <w:rPr>
          <w:rFonts w:ascii="Garamond" w:hAnsi="Garamond"/>
          <w:sz w:val="24"/>
          <w:szCs w:val="24"/>
        </w:rPr>
        <w:t xml:space="preserve"> (PG&amp;E)</w:t>
      </w:r>
      <w:r>
        <w:rPr>
          <w:rFonts w:ascii="Garamond" w:hAnsi="Garamond"/>
          <w:sz w:val="24"/>
          <w:szCs w:val="24"/>
        </w:rPr>
        <w:t>, Southern California Edison</w:t>
      </w:r>
      <w:r w:rsidR="004E035F">
        <w:rPr>
          <w:rFonts w:ascii="Garamond" w:hAnsi="Garamond"/>
          <w:sz w:val="24"/>
          <w:szCs w:val="24"/>
        </w:rPr>
        <w:t xml:space="preserve"> (SCE)</w:t>
      </w:r>
      <w:r>
        <w:rPr>
          <w:rFonts w:ascii="Garamond" w:hAnsi="Garamond"/>
          <w:sz w:val="24"/>
          <w:szCs w:val="24"/>
        </w:rPr>
        <w:t>, San Diego Gas and Electric</w:t>
      </w:r>
      <w:r w:rsidR="004E035F">
        <w:rPr>
          <w:rFonts w:ascii="Garamond" w:hAnsi="Garamond"/>
          <w:sz w:val="24"/>
          <w:szCs w:val="24"/>
        </w:rPr>
        <w:t xml:space="preserve"> (SDG&amp;E)</w:t>
      </w:r>
      <w:r>
        <w:rPr>
          <w:rFonts w:ascii="Garamond" w:hAnsi="Garamond"/>
          <w:sz w:val="24"/>
          <w:szCs w:val="24"/>
        </w:rPr>
        <w:t>.</w:t>
      </w:r>
      <w:r>
        <w:rPr>
          <w:rStyle w:val="FootnoteReference"/>
          <w:rFonts w:ascii="Garamond" w:hAnsi="Garamond"/>
          <w:sz w:val="24"/>
          <w:szCs w:val="24"/>
        </w:rPr>
        <w:footnoteReference w:id="2"/>
      </w:r>
      <w:r>
        <w:rPr>
          <w:rFonts w:ascii="Garamond" w:hAnsi="Garamond"/>
          <w:sz w:val="24"/>
          <w:szCs w:val="24"/>
        </w:rPr>
        <w:t xml:space="preserve"> Additional information will be contained in the next round of recommendations</w:t>
      </w:r>
      <w:r w:rsidR="00935470">
        <w:rPr>
          <w:rFonts w:ascii="Garamond" w:hAnsi="Garamond"/>
          <w:sz w:val="24"/>
          <w:szCs w:val="24"/>
        </w:rPr>
        <w:t xml:space="preserve">.  </w:t>
      </w:r>
      <w:r w:rsidRPr="00D27CF3">
        <w:rPr>
          <w:rFonts w:ascii="Garamond" w:hAnsi="Garamond"/>
          <w:sz w:val="24"/>
          <w:szCs w:val="24"/>
          <w:lang w:val="en"/>
        </w:rPr>
        <w:t>Members of the Board</w:t>
      </w:r>
      <w:r>
        <w:rPr>
          <w:rFonts w:ascii="Garamond" w:hAnsi="Garamond"/>
          <w:sz w:val="24"/>
          <w:szCs w:val="24"/>
        </w:rPr>
        <w:t xml:space="preserve"> look forward to our ongoing collaboration.</w:t>
      </w:r>
    </w:p>
    <w:p w14:paraId="2847068A" w14:textId="494F4ECD" w:rsidR="00EC005D" w:rsidRPr="009B62AA" w:rsidRDefault="00995FD6" w:rsidP="007D26CF">
      <w:pPr>
        <w:rPr>
          <w:rFonts w:ascii="Garamond" w:hAnsi="Garamond"/>
          <w:color w:val="FF0000"/>
          <w:sz w:val="24"/>
          <w:szCs w:val="24"/>
        </w:rPr>
      </w:pPr>
      <w:r w:rsidRPr="009B62AA">
        <w:rPr>
          <w:rFonts w:ascii="Garamond" w:hAnsi="Garamond"/>
          <w:color w:val="FF0000"/>
          <w:sz w:val="24"/>
          <w:szCs w:val="24"/>
        </w:rPr>
        <w:t xml:space="preserve">This </w:t>
      </w:r>
      <w:r w:rsidR="00A16C1C" w:rsidRPr="009B62AA">
        <w:rPr>
          <w:rFonts w:ascii="Garamond" w:hAnsi="Garamond"/>
          <w:color w:val="FF0000"/>
          <w:sz w:val="24"/>
          <w:szCs w:val="24"/>
        </w:rPr>
        <w:t xml:space="preserve">draft, published on April 14, 2020 adds justifications for the Board’s recommendations in light of </w:t>
      </w:r>
      <w:r w:rsidR="003424AB" w:rsidRPr="009B62AA">
        <w:rPr>
          <w:rFonts w:ascii="Garamond" w:hAnsi="Garamond"/>
          <w:color w:val="FF0000"/>
          <w:sz w:val="24"/>
          <w:szCs w:val="24"/>
        </w:rPr>
        <w:t xml:space="preserve">the global novel coronavirus 2019 (COVID-19) pandemic.  </w:t>
      </w:r>
      <w:r w:rsidR="00BD2FC8" w:rsidRPr="009B62AA">
        <w:rPr>
          <w:rFonts w:ascii="Garamond" w:hAnsi="Garamond"/>
          <w:color w:val="FF0000"/>
          <w:sz w:val="24"/>
          <w:szCs w:val="24"/>
        </w:rPr>
        <w:t>Certain</w:t>
      </w:r>
      <w:r w:rsidR="003424AB" w:rsidRPr="009B62AA">
        <w:rPr>
          <w:rFonts w:ascii="Garamond" w:hAnsi="Garamond"/>
          <w:color w:val="FF0000"/>
          <w:sz w:val="24"/>
          <w:szCs w:val="24"/>
        </w:rPr>
        <w:t xml:space="preserve"> Board</w:t>
      </w:r>
      <w:r w:rsidR="00CF069E" w:rsidRPr="009B62AA">
        <w:rPr>
          <w:rFonts w:ascii="Garamond" w:hAnsi="Garamond"/>
          <w:color w:val="FF0000"/>
          <w:sz w:val="24"/>
          <w:szCs w:val="24"/>
        </w:rPr>
        <w:t xml:space="preserve"> recommendations </w:t>
      </w:r>
      <w:r w:rsidR="00BD2FC8" w:rsidRPr="009B62AA">
        <w:rPr>
          <w:rFonts w:ascii="Garamond" w:eastAsia="Times New Roman" w:hAnsi="Garamond"/>
          <w:color w:val="FF0000"/>
          <w:sz w:val="24"/>
          <w:szCs w:val="24"/>
        </w:rPr>
        <w:t>have become critical</w:t>
      </w:r>
      <w:r w:rsidR="00302E58" w:rsidRPr="009B62AA">
        <w:rPr>
          <w:rFonts w:ascii="Garamond" w:eastAsia="Times New Roman" w:hAnsi="Garamond"/>
          <w:color w:val="FF0000"/>
          <w:sz w:val="24"/>
          <w:szCs w:val="24"/>
        </w:rPr>
        <w:t xml:space="preserve"> given the global COVID-19 pandemic</w:t>
      </w:r>
      <w:r w:rsidR="00302E58" w:rsidRPr="009B62AA">
        <w:rPr>
          <w:rFonts w:ascii="Garamond" w:hAnsi="Garamond"/>
          <w:color w:val="FF0000"/>
          <w:sz w:val="24"/>
          <w:szCs w:val="24"/>
        </w:rPr>
        <w:t xml:space="preserve"> </w:t>
      </w:r>
      <w:r w:rsidR="00BD2FC8" w:rsidRPr="009B62AA">
        <w:rPr>
          <w:rFonts w:ascii="Garamond" w:hAnsi="Garamond"/>
          <w:color w:val="FF0000"/>
          <w:sz w:val="24"/>
          <w:szCs w:val="24"/>
        </w:rPr>
        <w:t xml:space="preserve">especially, </w:t>
      </w:r>
      <w:r w:rsidR="00F73D4D" w:rsidRPr="009B62AA">
        <w:rPr>
          <w:rFonts w:ascii="Garamond" w:hAnsi="Garamond"/>
          <w:color w:val="FF0000"/>
          <w:sz w:val="24"/>
          <w:szCs w:val="24"/>
        </w:rPr>
        <w:t xml:space="preserve">(1) </w:t>
      </w:r>
      <w:r w:rsidR="002B6135" w:rsidRPr="009B62AA">
        <w:rPr>
          <w:rFonts w:ascii="Garamond" w:eastAsia="Times New Roman" w:hAnsi="Garamond"/>
          <w:color w:val="FF0000"/>
          <w:sz w:val="24"/>
          <w:szCs w:val="24"/>
        </w:rPr>
        <w:t xml:space="preserve">forming </w:t>
      </w:r>
      <w:r w:rsidR="00BD2FC8" w:rsidRPr="009B62AA">
        <w:rPr>
          <w:rFonts w:ascii="Garamond" w:eastAsia="Times New Roman" w:hAnsi="Garamond"/>
          <w:color w:val="FF0000"/>
          <w:sz w:val="24"/>
          <w:szCs w:val="24"/>
        </w:rPr>
        <w:t>deeper</w:t>
      </w:r>
      <w:r w:rsidR="002B6135" w:rsidRPr="009B62AA">
        <w:rPr>
          <w:rFonts w:ascii="Garamond" w:eastAsia="Times New Roman" w:hAnsi="Garamond"/>
          <w:color w:val="FF0000"/>
          <w:sz w:val="24"/>
          <w:szCs w:val="24"/>
        </w:rPr>
        <w:t xml:space="preserve"> partnerships with local city and county governments, with protocols for informing </w:t>
      </w:r>
      <w:r w:rsidR="00F73D4D" w:rsidRPr="009B62AA">
        <w:rPr>
          <w:rFonts w:ascii="Garamond" w:eastAsia="Times New Roman" w:hAnsi="Garamond"/>
          <w:color w:val="FF0000"/>
          <w:sz w:val="24"/>
          <w:szCs w:val="24"/>
        </w:rPr>
        <w:t xml:space="preserve">city and county </w:t>
      </w:r>
      <w:r w:rsidR="00BE7F38" w:rsidRPr="009B62AA">
        <w:rPr>
          <w:rFonts w:ascii="Garamond" w:eastAsia="Times New Roman" w:hAnsi="Garamond"/>
          <w:color w:val="FF0000"/>
          <w:sz w:val="24"/>
          <w:szCs w:val="24"/>
        </w:rPr>
        <w:t>agencies</w:t>
      </w:r>
      <w:r w:rsidR="008C2066" w:rsidRPr="009B62AA">
        <w:rPr>
          <w:rFonts w:ascii="Garamond" w:eastAsia="Times New Roman" w:hAnsi="Garamond"/>
          <w:color w:val="FF0000"/>
          <w:sz w:val="24"/>
          <w:szCs w:val="24"/>
        </w:rPr>
        <w:t xml:space="preserve"> and first responders,</w:t>
      </w:r>
      <w:r w:rsidR="009E59BC" w:rsidRPr="009B62AA">
        <w:rPr>
          <w:rStyle w:val="FootnoteReference"/>
          <w:rFonts w:ascii="Garamond" w:eastAsia="Times New Roman" w:hAnsi="Garamond"/>
          <w:color w:val="FF0000"/>
          <w:sz w:val="24"/>
          <w:szCs w:val="24"/>
        </w:rPr>
        <w:footnoteReference w:id="3"/>
      </w:r>
      <w:r w:rsidR="008C2066" w:rsidRPr="009B62AA">
        <w:rPr>
          <w:rFonts w:ascii="Garamond" w:eastAsia="Times New Roman" w:hAnsi="Garamond"/>
          <w:color w:val="FF0000"/>
          <w:sz w:val="24"/>
          <w:szCs w:val="24"/>
        </w:rPr>
        <w:t xml:space="preserve"> </w:t>
      </w:r>
      <w:r w:rsidR="00F73D4D" w:rsidRPr="009B62AA">
        <w:rPr>
          <w:rFonts w:ascii="Garamond" w:hAnsi="Garamond"/>
          <w:color w:val="FF0000"/>
          <w:sz w:val="24"/>
          <w:szCs w:val="24"/>
        </w:rPr>
        <w:t xml:space="preserve">(2) </w:t>
      </w:r>
      <w:r w:rsidR="006223DC" w:rsidRPr="009B62AA">
        <w:rPr>
          <w:rFonts w:ascii="Garamond" w:hAnsi="Garamond"/>
          <w:color w:val="FF0000"/>
          <w:sz w:val="24"/>
          <w:szCs w:val="24"/>
        </w:rPr>
        <w:t>developing more robust training programs for utility workers</w:t>
      </w:r>
      <w:r w:rsidR="00CF069E" w:rsidRPr="009B62AA">
        <w:rPr>
          <w:rFonts w:ascii="Garamond" w:hAnsi="Garamond"/>
          <w:color w:val="FF0000"/>
          <w:sz w:val="24"/>
          <w:szCs w:val="24"/>
        </w:rPr>
        <w:t>,</w:t>
      </w:r>
      <w:r w:rsidR="00634BCC" w:rsidRPr="009B62AA">
        <w:rPr>
          <w:rStyle w:val="FootnoteReference"/>
          <w:rFonts w:ascii="Garamond" w:hAnsi="Garamond"/>
          <w:color w:val="FF0000"/>
          <w:sz w:val="24"/>
          <w:szCs w:val="24"/>
        </w:rPr>
        <w:footnoteReference w:id="4"/>
      </w:r>
      <w:r w:rsidR="00CF069E" w:rsidRPr="009B62AA">
        <w:rPr>
          <w:rFonts w:ascii="Garamond" w:hAnsi="Garamond"/>
          <w:color w:val="FF0000"/>
          <w:sz w:val="24"/>
          <w:szCs w:val="24"/>
        </w:rPr>
        <w:t xml:space="preserve"> </w:t>
      </w:r>
      <w:r w:rsidR="009E59BC" w:rsidRPr="009B62AA">
        <w:rPr>
          <w:rFonts w:ascii="Garamond" w:hAnsi="Garamond"/>
          <w:color w:val="FF0000"/>
          <w:sz w:val="24"/>
          <w:szCs w:val="24"/>
        </w:rPr>
        <w:t xml:space="preserve">and </w:t>
      </w:r>
      <w:r w:rsidR="00F73D4D" w:rsidRPr="009B62AA">
        <w:rPr>
          <w:rFonts w:ascii="Garamond" w:hAnsi="Garamond"/>
          <w:color w:val="FF0000"/>
          <w:sz w:val="24"/>
          <w:szCs w:val="24"/>
        </w:rPr>
        <w:t xml:space="preserve">(3) </w:t>
      </w:r>
      <w:r w:rsidR="00612855" w:rsidRPr="009B62AA">
        <w:rPr>
          <w:rFonts w:ascii="Garamond" w:hAnsi="Garamond"/>
          <w:color w:val="FF0000"/>
          <w:sz w:val="24"/>
          <w:szCs w:val="24"/>
        </w:rPr>
        <w:t>r</w:t>
      </w:r>
      <w:r w:rsidR="00612855" w:rsidRPr="009B62AA">
        <w:rPr>
          <w:rFonts w:ascii="Garamond" w:eastAsia="Times New Roman" w:hAnsi="Garamond"/>
          <w:color w:val="FF0000"/>
          <w:sz w:val="24"/>
          <w:szCs w:val="24"/>
        </w:rPr>
        <w:t>educing the number of PSPS events, shortening PSPS event duration, and ensuring re-energization occurs more quickly</w:t>
      </w:r>
      <w:r w:rsidR="00BD2FC8" w:rsidRPr="009B62AA">
        <w:rPr>
          <w:rFonts w:ascii="Garamond" w:eastAsia="Times New Roman" w:hAnsi="Garamond"/>
          <w:color w:val="FF0000"/>
          <w:sz w:val="24"/>
          <w:szCs w:val="24"/>
        </w:rPr>
        <w:t>.</w:t>
      </w:r>
      <w:r w:rsidR="00634BCC" w:rsidRPr="009B62AA">
        <w:rPr>
          <w:rStyle w:val="FootnoteReference"/>
          <w:rFonts w:ascii="Garamond" w:eastAsia="Times New Roman" w:hAnsi="Garamond"/>
          <w:color w:val="FF0000"/>
          <w:sz w:val="24"/>
          <w:szCs w:val="24"/>
        </w:rPr>
        <w:footnoteReference w:id="5"/>
      </w:r>
      <w:r w:rsidR="00612855" w:rsidRPr="009B62AA">
        <w:rPr>
          <w:rFonts w:ascii="Garamond" w:eastAsia="Times New Roman" w:hAnsi="Garamond"/>
          <w:color w:val="FF0000"/>
          <w:sz w:val="24"/>
          <w:szCs w:val="24"/>
        </w:rPr>
        <w:t xml:space="preserve"> </w:t>
      </w:r>
    </w:p>
    <w:p w14:paraId="1F211CBF" w14:textId="54588934" w:rsidR="003A07D3" w:rsidRPr="00D27CF3" w:rsidRDefault="003A07D3" w:rsidP="00855C71">
      <w:pPr>
        <w:spacing w:after="0"/>
        <w:rPr>
          <w:rStyle w:val="Hyperlink"/>
          <w:rFonts w:ascii="Garamond" w:hAnsi="Garamond"/>
          <w:color w:val="auto"/>
          <w:sz w:val="24"/>
          <w:szCs w:val="24"/>
          <w:lang w:val="en"/>
        </w:rPr>
      </w:pPr>
    </w:p>
    <w:p w14:paraId="6394641C" w14:textId="2A9EA66A" w:rsidR="003A07D3" w:rsidRPr="00143D8A" w:rsidRDefault="003A07D3" w:rsidP="00C115EF">
      <w:pPr>
        <w:pStyle w:val="ListParagraph"/>
        <w:numPr>
          <w:ilvl w:val="0"/>
          <w:numId w:val="5"/>
        </w:numPr>
        <w:contextualSpacing w:val="0"/>
        <w:rPr>
          <w:rFonts w:ascii="Century Gothic" w:hAnsi="Century Gothic"/>
          <w:lang w:val="en"/>
        </w:rPr>
      </w:pPr>
      <w:r w:rsidRPr="00143D8A">
        <w:rPr>
          <w:rFonts w:ascii="Century Gothic" w:hAnsi="Century Gothic"/>
          <w:lang w:val="en"/>
        </w:rPr>
        <w:t>Procedural History</w:t>
      </w:r>
    </w:p>
    <w:p w14:paraId="408988E2" w14:textId="661EC593" w:rsidR="00984811" w:rsidRDefault="00B23CFC" w:rsidP="00855C71">
      <w:pPr>
        <w:rPr>
          <w:sz w:val="26"/>
          <w:szCs w:val="26"/>
        </w:rPr>
      </w:pPr>
      <w:r>
        <w:rPr>
          <w:rFonts w:ascii="Garamond" w:hAnsi="Garamond"/>
          <w:sz w:val="24"/>
          <w:szCs w:val="24"/>
          <w:lang w:val="en"/>
        </w:rPr>
        <w:t>Following the catastrophic fires of 2017 and 2018, t</w:t>
      </w:r>
      <w:r w:rsidR="004564D5" w:rsidRPr="00D27CF3">
        <w:rPr>
          <w:rFonts w:ascii="Garamond" w:hAnsi="Garamond"/>
          <w:sz w:val="24"/>
          <w:szCs w:val="24"/>
          <w:lang w:val="en"/>
        </w:rPr>
        <w:t xml:space="preserve">he CPUC </w:t>
      </w:r>
      <w:r w:rsidR="00A96DC2" w:rsidRPr="00D27CF3">
        <w:rPr>
          <w:rFonts w:ascii="Garamond" w:hAnsi="Garamond"/>
          <w:sz w:val="24"/>
          <w:szCs w:val="24"/>
          <w:lang w:val="en"/>
        </w:rPr>
        <w:t xml:space="preserve">opened Rulemaking </w:t>
      </w:r>
      <w:r w:rsidR="00C81C47" w:rsidRPr="00D27CF3">
        <w:rPr>
          <w:rFonts w:ascii="Garamond" w:hAnsi="Garamond"/>
          <w:sz w:val="24"/>
          <w:szCs w:val="24"/>
          <w:lang w:val="en"/>
        </w:rPr>
        <w:t>18-10-007</w:t>
      </w:r>
      <w:r w:rsidR="00D22BF3" w:rsidRPr="00D27CF3">
        <w:rPr>
          <w:rFonts w:ascii="Garamond" w:hAnsi="Garamond"/>
          <w:sz w:val="24"/>
          <w:szCs w:val="24"/>
          <w:lang w:val="en"/>
        </w:rPr>
        <w:t xml:space="preserve"> to</w:t>
      </w:r>
      <w:r w:rsidR="00E444A6" w:rsidRPr="00D27CF3">
        <w:rPr>
          <w:rFonts w:ascii="Garamond" w:hAnsi="Garamond"/>
          <w:sz w:val="24"/>
          <w:szCs w:val="24"/>
          <w:lang w:val="en"/>
        </w:rPr>
        <w:t xml:space="preserve"> provide guidance on the form and contents and process for review and implementation of the</w:t>
      </w:r>
      <w:r>
        <w:rPr>
          <w:rFonts w:ascii="Garamond" w:hAnsi="Garamond"/>
          <w:sz w:val="24"/>
          <w:szCs w:val="24"/>
          <w:lang w:val="en"/>
        </w:rPr>
        <w:t xml:space="preserve"> investor-owned electric utilities’</w:t>
      </w:r>
      <w:r w:rsidR="00E444A6" w:rsidRPr="00D27CF3">
        <w:rPr>
          <w:rFonts w:ascii="Garamond" w:hAnsi="Garamond"/>
          <w:sz w:val="24"/>
          <w:szCs w:val="24"/>
          <w:lang w:val="en"/>
        </w:rPr>
        <w:t xml:space="preserve"> wildfire mitigation plans to be filed </w:t>
      </w:r>
      <w:r>
        <w:rPr>
          <w:rFonts w:ascii="Garamond" w:hAnsi="Garamond"/>
          <w:sz w:val="24"/>
          <w:szCs w:val="24"/>
          <w:lang w:val="en"/>
        </w:rPr>
        <w:t xml:space="preserve">pursuant </w:t>
      </w:r>
      <w:r w:rsidR="00D22BF3" w:rsidRPr="00D27CF3">
        <w:rPr>
          <w:rFonts w:ascii="Garamond" w:hAnsi="Garamond"/>
          <w:sz w:val="24"/>
          <w:szCs w:val="24"/>
          <w:lang w:val="en"/>
        </w:rPr>
        <w:t>to Senate Bill 901</w:t>
      </w:r>
      <w:r w:rsidR="00E444A6" w:rsidRPr="00D27CF3">
        <w:rPr>
          <w:rFonts w:ascii="Garamond" w:hAnsi="Garamond"/>
          <w:sz w:val="24"/>
          <w:szCs w:val="24"/>
          <w:lang w:val="en"/>
        </w:rPr>
        <w:t>.</w:t>
      </w:r>
      <w:r w:rsidR="004A11A2">
        <w:rPr>
          <w:rStyle w:val="FootnoteReference"/>
          <w:rFonts w:ascii="Garamond" w:hAnsi="Garamond"/>
          <w:sz w:val="24"/>
          <w:szCs w:val="24"/>
          <w:lang w:val="en"/>
        </w:rPr>
        <w:footnoteReference w:id="6"/>
      </w:r>
      <w:r w:rsidR="00EE7237" w:rsidRPr="00D27CF3">
        <w:rPr>
          <w:rFonts w:ascii="Garamond" w:hAnsi="Garamond"/>
          <w:sz w:val="24"/>
          <w:szCs w:val="24"/>
          <w:lang w:val="en"/>
        </w:rPr>
        <w:t xml:space="preserve"> </w:t>
      </w:r>
      <w:r w:rsidR="002F2EF6" w:rsidRPr="00D27CF3">
        <w:rPr>
          <w:rFonts w:ascii="Garamond" w:hAnsi="Garamond"/>
          <w:sz w:val="24"/>
          <w:szCs w:val="24"/>
          <w:lang w:val="en"/>
        </w:rPr>
        <w:t xml:space="preserve">The </w:t>
      </w:r>
      <w:r w:rsidR="00F9585F" w:rsidRPr="00D27CF3">
        <w:rPr>
          <w:rFonts w:ascii="Garamond" w:hAnsi="Garamond"/>
          <w:sz w:val="24"/>
          <w:szCs w:val="24"/>
          <w:lang w:val="en"/>
        </w:rPr>
        <w:t>CPUC</w:t>
      </w:r>
      <w:r w:rsidR="002F2EF6" w:rsidRPr="00D27CF3">
        <w:rPr>
          <w:rFonts w:ascii="Garamond" w:hAnsi="Garamond"/>
          <w:sz w:val="24"/>
          <w:szCs w:val="24"/>
          <w:lang w:val="en"/>
        </w:rPr>
        <w:t xml:space="preserve"> issued</w:t>
      </w:r>
      <w:r w:rsidR="009468DA" w:rsidRPr="00D27CF3">
        <w:rPr>
          <w:rFonts w:ascii="Garamond" w:hAnsi="Garamond"/>
          <w:sz w:val="24"/>
          <w:szCs w:val="24"/>
          <w:lang w:val="en"/>
        </w:rPr>
        <w:t xml:space="preserve"> the wildfire </w:t>
      </w:r>
      <w:r w:rsidR="004237E2" w:rsidRPr="00D27CF3">
        <w:rPr>
          <w:rFonts w:ascii="Garamond" w:hAnsi="Garamond"/>
          <w:sz w:val="24"/>
          <w:szCs w:val="24"/>
          <w:lang w:val="en"/>
        </w:rPr>
        <w:t xml:space="preserve">mitigation </w:t>
      </w:r>
      <w:r w:rsidR="009468DA" w:rsidRPr="00D27CF3">
        <w:rPr>
          <w:rFonts w:ascii="Garamond" w:hAnsi="Garamond"/>
          <w:sz w:val="24"/>
          <w:szCs w:val="24"/>
          <w:lang w:val="en"/>
        </w:rPr>
        <w:t xml:space="preserve">plan guidance </w:t>
      </w:r>
      <w:r w:rsidR="00935470">
        <w:rPr>
          <w:rFonts w:ascii="Garamond" w:hAnsi="Garamond"/>
          <w:sz w:val="24"/>
          <w:szCs w:val="24"/>
          <w:lang w:val="en"/>
        </w:rPr>
        <w:t>D</w:t>
      </w:r>
      <w:r w:rsidR="00935470" w:rsidRPr="00D27CF3">
        <w:rPr>
          <w:rFonts w:ascii="Garamond" w:hAnsi="Garamond"/>
          <w:sz w:val="24"/>
          <w:szCs w:val="24"/>
          <w:lang w:val="en"/>
        </w:rPr>
        <w:t>ecision</w:t>
      </w:r>
      <w:hyperlink r:id="rId13" w:history="1">
        <w:r w:rsidR="00935470">
          <w:rPr>
            <w:rStyle w:val="Hyperlink"/>
            <w:rFonts w:ascii="Garamond" w:hAnsi="Garamond"/>
            <w:color w:val="auto"/>
            <w:sz w:val="24"/>
            <w:szCs w:val="24"/>
            <w:lang w:val="en"/>
          </w:rPr>
          <w:t xml:space="preserve"> (</w:t>
        </w:r>
        <w:r w:rsidR="00935470" w:rsidRPr="00D27CF3">
          <w:rPr>
            <w:rStyle w:val="Hyperlink"/>
            <w:rFonts w:ascii="Garamond" w:hAnsi="Garamond"/>
            <w:color w:val="auto"/>
            <w:sz w:val="24"/>
            <w:szCs w:val="24"/>
            <w:lang w:val="en"/>
          </w:rPr>
          <w:t>D.</w:t>
        </w:r>
        <w:r w:rsidR="00935470">
          <w:rPr>
            <w:rStyle w:val="Hyperlink"/>
            <w:rFonts w:ascii="Garamond" w:hAnsi="Garamond"/>
            <w:color w:val="auto"/>
            <w:sz w:val="24"/>
            <w:szCs w:val="24"/>
            <w:lang w:val="en"/>
          </w:rPr>
          <w:t>)</w:t>
        </w:r>
        <w:r w:rsidR="00935470" w:rsidRPr="00D27CF3">
          <w:rPr>
            <w:rStyle w:val="Hyperlink"/>
            <w:rFonts w:ascii="Garamond" w:hAnsi="Garamond"/>
            <w:color w:val="auto"/>
            <w:sz w:val="24"/>
            <w:szCs w:val="24"/>
            <w:lang w:val="en"/>
          </w:rPr>
          <w:t xml:space="preserve"> 19-05-035</w:t>
        </w:r>
      </w:hyperlink>
      <w:r w:rsidR="00784D36" w:rsidRPr="00D27CF3">
        <w:rPr>
          <w:rFonts w:ascii="Garamond" w:hAnsi="Garamond"/>
          <w:sz w:val="24"/>
          <w:szCs w:val="24"/>
          <w:lang w:val="en"/>
        </w:rPr>
        <w:t xml:space="preserve"> on June 3, 2019, </w:t>
      </w:r>
      <w:r w:rsidR="004237E2" w:rsidRPr="00D27CF3">
        <w:rPr>
          <w:rFonts w:ascii="Garamond" w:hAnsi="Garamond"/>
          <w:sz w:val="24"/>
          <w:szCs w:val="24"/>
          <w:lang w:val="en"/>
        </w:rPr>
        <w:t xml:space="preserve">in time for the large investor owned electric utilities, three small and multijurisdictional utilities, and two independent transmission owners, to act. </w:t>
      </w:r>
      <w:r w:rsidR="00E106A1">
        <w:rPr>
          <w:rFonts w:ascii="Garamond" w:hAnsi="Garamond"/>
          <w:sz w:val="24"/>
          <w:szCs w:val="24"/>
          <w:lang w:val="en"/>
        </w:rPr>
        <w:t xml:space="preserve"> </w:t>
      </w:r>
      <w:r w:rsidR="00953DAA" w:rsidRPr="00D27CF3">
        <w:rPr>
          <w:rFonts w:ascii="Garamond" w:hAnsi="Garamond"/>
          <w:sz w:val="24"/>
          <w:szCs w:val="24"/>
          <w:lang w:val="en"/>
        </w:rPr>
        <w:t>Th</w:t>
      </w:r>
      <w:r>
        <w:rPr>
          <w:rFonts w:ascii="Garamond" w:hAnsi="Garamond"/>
          <w:sz w:val="24"/>
          <w:szCs w:val="24"/>
          <w:lang w:val="en"/>
        </w:rPr>
        <w:t>at d</w:t>
      </w:r>
      <w:r w:rsidR="00953DAA" w:rsidRPr="00D27CF3">
        <w:rPr>
          <w:rFonts w:ascii="Garamond" w:hAnsi="Garamond"/>
          <w:sz w:val="24"/>
          <w:szCs w:val="24"/>
          <w:lang w:val="en"/>
        </w:rPr>
        <w:t xml:space="preserve">ecision ordered all </w:t>
      </w:r>
      <w:r w:rsidR="006371B9" w:rsidRPr="00D27CF3">
        <w:rPr>
          <w:rFonts w:ascii="Garamond" w:hAnsi="Garamond"/>
          <w:sz w:val="24"/>
          <w:szCs w:val="24"/>
          <w:lang w:val="en"/>
        </w:rPr>
        <w:t xml:space="preserve">utilities to collect data and file reports, established preliminary metrics to evaluate the mitigation plans, and clarified that the metrics focused on the success </w:t>
      </w:r>
      <w:r w:rsidR="00984811" w:rsidRPr="00D27CF3">
        <w:rPr>
          <w:rFonts w:ascii="Garamond" w:hAnsi="Garamond"/>
          <w:sz w:val="24"/>
          <w:szCs w:val="24"/>
          <w:lang w:val="en"/>
        </w:rPr>
        <w:t>of mitigating and lower</w:t>
      </w:r>
      <w:r w:rsidR="004107DE">
        <w:rPr>
          <w:rFonts w:ascii="Garamond" w:hAnsi="Garamond"/>
          <w:sz w:val="24"/>
          <w:szCs w:val="24"/>
          <w:lang w:val="en"/>
        </w:rPr>
        <w:t>ing</w:t>
      </w:r>
      <w:r w:rsidR="00984811" w:rsidRPr="00D27CF3">
        <w:rPr>
          <w:rFonts w:ascii="Garamond" w:hAnsi="Garamond"/>
          <w:sz w:val="24"/>
          <w:szCs w:val="24"/>
          <w:lang w:val="en"/>
        </w:rPr>
        <w:t xml:space="preserve"> the risk of future catastrophic wildfires. </w:t>
      </w:r>
    </w:p>
    <w:p w14:paraId="18AB2C78" w14:textId="77777777" w:rsidR="00C0031D" w:rsidRDefault="00C0031D" w:rsidP="00C0031D">
      <w:pPr>
        <w:rPr>
          <w:rFonts w:ascii="Garamond" w:hAnsi="Garamond"/>
          <w:sz w:val="24"/>
          <w:szCs w:val="24"/>
        </w:rPr>
      </w:pPr>
      <w:r>
        <w:rPr>
          <w:rFonts w:ascii="Garamond" w:hAnsi="Garamond"/>
          <w:sz w:val="24"/>
          <w:szCs w:val="24"/>
        </w:rPr>
        <w:t>Assembly Bill 1054</w:t>
      </w:r>
      <w:r>
        <w:rPr>
          <w:rStyle w:val="FootnoteReference"/>
          <w:rFonts w:ascii="Garamond" w:hAnsi="Garamond"/>
          <w:sz w:val="24"/>
          <w:szCs w:val="24"/>
        </w:rPr>
        <w:footnoteReference w:id="7"/>
      </w:r>
      <w:r>
        <w:rPr>
          <w:rFonts w:ascii="Garamond" w:hAnsi="Garamond"/>
          <w:sz w:val="24"/>
          <w:szCs w:val="24"/>
        </w:rPr>
        <w:t xml:space="preserve"> and Assembly Bill 111</w:t>
      </w:r>
      <w:r>
        <w:rPr>
          <w:rStyle w:val="FootnoteReference"/>
          <w:rFonts w:ascii="Garamond" w:hAnsi="Garamond"/>
          <w:sz w:val="24"/>
          <w:szCs w:val="24"/>
        </w:rPr>
        <w:footnoteReference w:id="8"/>
      </w:r>
      <w:r>
        <w:rPr>
          <w:rFonts w:ascii="Garamond" w:hAnsi="Garamond"/>
          <w:sz w:val="24"/>
          <w:szCs w:val="24"/>
        </w:rPr>
        <w:t xml:space="preserve"> established the Board consisting of seven independent members appointed by the Governor, Speaker of the Assembly, and Senate Committee on Rules, to advise and make recommendations related to wildfire safety to the California Public Utilities Commission’s Wildfire Safety Division.</w:t>
      </w:r>
    </w:p>
    <w:p w14:paraId="4D2C916D" w14:textId="00748B06" w:rsidR="00953DAA" w:rsidRDefault="00132FF6" w:rsidP="00C115EF">
      <w:pPr>
        <w:rPr>
          <w:rFonts w:ascii="Garamond" w:hAnsi="Garamond"/>
          <w:sz w:val="24"/>
          <w:szCs w:val="24"/>
          <w:lang w:val="en"/>
        </w:rPr>
      </w:pPr>
      <w:r w:rsidRPr="00D27CF3">
        <w:rPr>
          <w:rFonts w:ascii="Garamond" w:hAnsi="Garamond"/>
          <w:sz w:val="24"/>
          <w:szCs w:val="24"/>
          <w:lang w:val="en"/>
        </w:rPr>
        <w:t xml:space="preserve">The recommendations before us today are </w:t>
      </w:r>
      <w:r w:rsidR="00941927" w:rsidRPr="00D27CF3">
        <w:rPr>
          <w:rFonts w:ascii="Garamond" w:hAnsi="Garamond"/>
          <w:sz w:val="24"/>
          <w:szCs w:val="24"/>
          <w:lang w:val="en"/>
        </w:rPr>
        <w:t xml:space="preserve">the </w:t>
      </w:r>
      <w:r w:rsidR="004D2506">
        <w:rPr>
          <w:rFonts w:ascii="Garamond" w:hAnsi="Garamond"/>
          <w:sz w:val="24"/>
          <w:szCs w:val="24"/>
          <w:lang w:val="en"/>
        </w:rPr>
        <w:t>Board</w:t>
      </w:r>
      <w:r w:rsidR="004D2506" w:rsidRPr="00D27CF3">
        <w:rPr>
          <w:rFonts w:ascii="Garamond" w:hAnsi="Garamond"/>
          <w:sz w:val="24"/>
          <w:szCs w:val="24"/>
          <w:lang w:val="en"/>
        </w:rPr>
        <w:t xml:space="preserve">’s </w:t>
      </w:r>
      <w:r w:rsidR="00941927" w:rsidRPr="00D27CF3">
        <w:rPr>
          <w:rFonts w:ascii="Garamond" w:hAnsi="Garamond"/>
          <w:sz w:val="24"/>
          <w:szCs w:val="24"/>
          <w:lang w:val="en"/>
        </w:rPr>
        <w:t>thoughts</w:t>
      </w:r>
      <w:r w:rsidRPr="00D27CF3">
        <w:rPr>
          <w:rFonts w:ascii="Garamond" w:hAnsi="Garamond"/>
          <w:sz w:val="24"/>
          <w:szCs w:val="24"/>
          <w:lang w:val="en"/>
        </w:rPr>
        <w:t xml:space="preserve"> on the utilit</w:t>
      </w:r>
      <w:r w:rsidR="00941927" w:rsidRPr="00D27CF3">
        <w:rPr>
          <w:rFonts w:ascii="Garamond" w:hAnsi="Garamond"/>
          <w:sz w:val="24"/>
          <w:szCs w:val="24"/>
          <w:lang w:val="en"/>
        </w:rPr>
        <w:t xml:space="preserve">ies’ </w:t>
      </w:r>
      <w:r w:rsidRPr="00D27CF3">
        <w:rPr>
          <w:rFonts w:ascii="Garamond" w:hAnsi="Garamond"/>
          <w:sz w:val="24"/>
          <w:szCs w:val="24"/>
          <w:lang w:val="en"/>
        </w:rPr>
        <w:t>2020 Wildfire Mitigation Plans</w:t>
      </w:r>
      <w:r w:rsidR="00935470">
        <w:rPr>
          <w:rFonts w:ascii="Garamond" w:hAnsi="Garamond"/>
          <w:sz w:val="24"/>
          <w:szCs w:val="24"/>
          <w:lang w:val="en"/>
        </w:rPr>
        <w:t xml:space="preserve">.  </w:t>
      </w:r>
      <w:r w:rsidR="00941927" w:rsidRPr="00D27CF3">
        <w:rPr>
          <w:rFonts w:ascii="Garamond" w:hAnsi="Garamond"/>
          <w:sz w:val="24"/>
          <w:szCs w:val="24"/>
          <w:lang w:val="en"/>
        </w:rPr>
        <w:t>The Board provides these recommendations to Wildfire Safety Division for consideration as the new division consider</w:t>
      </w:r>
      <w:r w:rsidR="004107DE">
        <w:rPr>
          <w:rFonts w:ascii="Garamond" w:hAnsi="Garamond"/>
          <w:sz w:val="24"/>
          <w:szCs w:val="24"/>
          <w:lang w:val="en"/>
        </w:rPr>
        <w:t>s</w:t>
      </w:r>
      <w:r w:rsidR="00941927" w:rsidRPr="00D27CF3">
        <w:rPr>
          <w:rFonts w:ascii="Garamond" w:hAnsi="Garamond"/>
          <w:sz w:val="24"/>
          <w:szCs w:val="24"/>
          <w:lang w:val="en"/>
        </w:rPr>
        <w:t xml:space="preserve"> the sufficiency of the </w:t>
      </w:r>
      <w:r w:rsidR="003D4259">
        <w:rPr>
          <w:rFonts w:ascii="Garamond" w:hAnsi="Garamond"/>
          <w:sz w:val="24"/>
          <w:szCs w:val="24"/>
          <w:lang w:val="en"/>
        </w:rPr>
        <w:t xml:space="preserve">currently filed </w:t>
      </w:r>
      <w:r w:rsidR="00941927" w:rsidRPr="00D27CF3">
        <w:rPr>
          <w:rFonts w:ascii="Garamond" w:hAnsi="Garamond"/>
          <w:sz w:val="24"/>
          <w:szCs w:val="24"/>
          <w:lang w:val="en"/>
        </w:rPr>
        <w:t>plans</w:t>
      </w:r>
      <w:r w:rsidR="00935470">
        <w:rPr>
          <w:rFonts w:ascii="Garamond" w:hAnsi="Garamond"/>
          <w:sz w:val="24"/>
          <w:szCs w:val="24"/>
          <w:lang w:val="en"/>
        </w:rPr>
        <w:t xml:space="preserve">.  </w:t>
      </w:r>
      <w:r w:rsidR="00F93072" w:rsidRPr="00D27CF3">
        <w:rPr>
          <w:rFonts w:ascii="Garamond" w:hAnsi="Garamond"/>
          <w:sz w:val="24"/>
          <w:szCs w:val="24"/>
          <w:lang w:val="en"/>
        </w:rPr>
        <w:t>The</w:t>
      </w:r>
      <w:r w:rsidR="00941927" w:rsidRPr="00D27CF3">
        <w:rPr>
          <w:rFonts w:ascii="Garamond" w:hAnsi="Garamond"/>
          <w:sz w:val="24"/>
          <w:szCs w:val="24"/>
          <w:lang w:val="en"/>
        </w:rPr>
        <w:t xml:space="preserve"> Board’s </w:t>
      </w:r>
      <w:r w:rsidR="00F93072" w:rsidRPr="00D27CF3">
        <w:rPr>
          <w:rFonts w:ascii="Garamond" w:hAnsi="Garamond"/>
          <w:sz w:val="24"/>
          <w:szCs w:val="24"/>
          <w:lang w:val="en"/>
        </w:rPr>
        <w:t xml:space="preserve">recommendations provide </w:t>
      </w:r>
      <w:r w:rsidR="00087671" w:rsidRPr="00D27CF3">
        <w:rPr>
          <w:rFonts w:ascii="Garamond" w:hAnsi="Garamond"/>
          <w:sz w:val="24"/>
          <w:szCs w:val="24"/>
          <w:lang w:val="en"/>
        </w:rPr>
        <w:t>high-level</w:t>
      </w:r>
      <w:r w:rsidR="00F93072" w:rsidRPr="00D27CF3">
        <w:rPr>
          <w:rFonts w:ascii="Garamond" w:hAnsi="Garamond"/>
          <w:sz w:val="24"/>
          <w:szCs w:val="24"/>
          <w:lang w:val="en"/>
        </w:rPr>
        <w:t xml:space="preserve"> </w:t>
      </w:r>
      <w:r w:rsidR="004107DE">
        <w:rPr>
          <w:rFonts w:ascii="Garamond" w:hAnsi="Garamond"/>
          <w:sz w:val="24"/>
          <w:szCs w:val="24"/>
          <w:lang w:val="en"/>
        </w:rPr>
        <w:t>input</w:t>
      </w:r>
      <w:r w:rsidR="004107DE" w:rsidRPr="00D27CF3">
        <w:rPr>
          <w:rFonts w:ascii="Garamond" w:hAnsi="Garamond"/>
          <w:sz w:val="24"/>
          <w:szCs w:val="24"/>
          <w:lang w:val="en"/>
        </w:rPr>
        <w:t xml:space="preserve"> </w:t>
      </w:r>
      <w:r w:rsidR="00941927" w:rsidRPr="00D27CF3">
        <w:rPr>
          <w:rFonts w:ascii="Garamond" w:hAnsi="Garamond"/>
          <w:sz w:val="24"/>
          <w:szCs w:val="24"/>
          <w:lang w:val="en"/>
        </w:rPr>
        <w:t xml:space="preserve">about upcoming </w:t>
      </w:r>
      <w:r w:rsidR="00396177" w:rsidRPr="00D27CF3">
        <w:rPr>
          <w:rFonts w:ascii="Garamond" w:hAnsi="Garamond"/>
          <w:sz w:val="24"/>
          <w:szCs w:val="24"/>
          <w:lang w:val="en"/>
        </w:rPr>
        <w:t xml:space="preserve">wildfire mitigation </w:t>
      </w:r>
      <w:r w:rsidR="00941927" w:rsidRPr="00D27CF3">
        <w:rPr>
          <w:rFonts w:ascii="Garamond" w:hAnsi="Garamond"/>
          <w:sz w:val="24"/>
          <w:szCs w:val="24"/>
          <w:lang w:val="en"/>
        </w:rPr>
        <w:t xml:space="preserve">efforts </w:t>
      </w:r>
      <w:r w:rsidR="00396177" w:rsidRPr="00D27CF3">
        <w:rPr>
          <w:rFonts w:ascii="Garamond" w:hAnsi="Garamond"/>
          <w:sz w:val="24"/>
          <w:szCs w:val="24"/>
          <w:lang w:val="en"/>
        </w:rPr>
        <w:t xml:space="preserve">for consideration immediately, in the near or medium term, </w:t>
      </w:r>
      <w:r w:rsidR="00941927" w:rsidRPr="00D27CF3">
        <w:rPr>
          <w:rFonts w:ascii="Garamond" w:hAnsi="Garamond"/>
          <w:sz w:val="24"/>
          <w:szCs w:val="24"/>
          <w:lang w:val="en"/>
        </w:rPr>
        <w:t xml:space="preserve">and </w:t>
      </w:r>
      <w:r w:rsidR="00396177" w:rsidRPr="00D27CF3">
        <w:rPr>
          <w:rFonts w:ascii="Garamond" w:hAnsi="Garamond"/>
          <w:sz w:val="24"/>
          <w:szCs w:val="24"/>
          <w:lang w:val="en"/>
        </w:rPr>
        <w:t xml:space="preserve">over the long term. </w:t>
      </w:r>
    </w:p>
    <w:p w14:paraId="33DA53DA" w14:textId="77777777" w:rsidR="00143D8A" w:rsidRPr="00D27CF3" w:rsidRDefault="00143D8A" w:rsidP="00855C71">
      <w:pPr>
        <w:spacing w:after="0"/>
        <w:rPr>
          <w:rFonts w:ascii="Garamond" w:hAnsi="Garamond"/>
          <w:sz w:val="24"/>
          <w:szCs w:val="24"/>
          <w:lang w:val="en"/>
        </w:rPr>
      </w:pPr>
    </w:p>
    <w:p w14:paraId="5943B9C8" w14:textId="1BD467B3" w:rsidR="00D54210" w:rsidRPr="00143D8A" w:rsidRDefault="00D54210" w:rsidP="00C115EF">
      <w:pPr>
        <w:pStyle w:val="ListParagraph"/>
        <w:numPr>
          <w:ilvl w:val="0"/>
          <w:numId w:val="5"/>
        </w:numPr>
        <w:contextualSpacing w:val="0"/>
        <w:rPr>
          <w:rFonts w:ascii="Century Gothic" w:hAnsi="Century Gothic"/>
          <w:lang w:val="en"/>
        </w:rPr>
      </w:pPr>
      <w:r w:rsidRPr="00143D8A">
        <w:rPr>
          <w:rFonts w:ascii="Century Gothic" w:hAnsi="Century Gothic"/>
          <w:lang w:val="en"/>
        </w:rPr>
        <w:t xml:space="preserve">Recommendations </w:t>
      </w:r>
      <w:r w:rsidR="00B678CF" w:rsidRPr="00143D8A">
        <w:rPr>
          <w:rFonts w:ascii="Century Gothic" w:hAnsi="Century Gothic"/>
          <w:lang w:val="en"/>
        </w:rPr>
        <w:t>D</w:t>
      </w:r>
      <w:r w:rsidRPr="00143D8A">
        <w:rPr>
          <w:rFonts w:ascii="Century Gothic" w:hAnsi="Century Gothic"/>
          <w:lang w:val="en"/>
        </w:rPr>
        <w:t xml:space="preserve">eveloped as the CPUC </w:t>
      </w:r>
      <w:r w:rsidR="00B678CF" w:rsidRPr="00143D8A">
        <w:rPr>
          <w:rFonts w:ascii="Century Gothic" w:hAnsi="Century Gothic"/>
          <w:lang w:val="en"/>
        </w:rPr>
        <w:t>T</w:t>
      </w:r>
      <w:r w:rsidRPr="00143D8A">
        <w:rPr>
          <w:rFonts w:ascii="Century Gothic" w:hAnsi="Century Gothic"/>
          <w:lang w:val="en"/>
        </w:rPr>
        <w:t xml:space="preserve">akes </w:t>
      </w:r>
      <w:r w:rsidR="00B678CF" w:rsidRPr="00143D8A">
        <w:rPr>
          <w:rFonts w:ascii="Century Gothic" w:hAnsi="Century Gothic"/>
          <w:lang w:val="en"/>
        </w:rPr>
        <w:t>P</w:t>
      </w:r>
      <w:r w:rsidRPr="00143D8A">
        <w:rPr>
          <w:rFonts w:ascii="Century Gothic" w:hAnsi="Century Gothic"/>
          <w:lang w:val="en"/>
        </w:rPr>
        <w:t xml:space="preserve">rocedural </w:t>
      </w:r>
      <w:r w:rsidR="00B678CF" w:rsidRPr="00143D8A">
        <w:rPr>
          <w:rFonts w:ascii="Century Gothic" w:hAnsi="Century Gothic"/>
          <w:lang w:val="en"/>
        </w:rPr>
        <w:t>A</w:t>
      </w:r>
      <w:r w:rsidRPr="00143D8A">
        <w:rPr>
          <w:rFonts w:ascii="Century Gothic" w:hAnsi="Century Gothic"/>
          <w:lang w:val="en"/>
        </w:rPr>
        <w:t>ction</w:t>
      </w:r>
    </w:p>
    <w:p w14:paraId="4770B0CA" w14:textId="6308BFCF" w:rsidR="00D54210" w:rsidRPr="00D27CF3" w:rsidRDefault="00D54210" w:rsidP="00855C71">
      <w:pPr>
        <w:rPr>
          <w:rFonts w:ascii="Garamond" w:hAnsi="Garamond"/>
          <w:sz w:val="24"/>
          <w:szCs w:val="24"/>
          <w:lang w:val="en"/>
        </w:rPr>
      </w:pPr>
      <w:r w:rsidRPr="00D27CF3">
        <w:rPr>
          <w:rFonts w:ascii="Garamond" w:hAnsi="Garamond"/>
          <w:sz w:val="24"/>
          <w:szCs w:val="24"/>
          <w:lang w:val="en"/>
        </w:rPr>
        <w:t>These recommendations were produced as a result of Board review of the investor owned utilities’ 2020 WMPs.  Board members</w:t>
      </w:r>
      <w:r w:rsidR="003D4259">
        <w:rPr>
          <w:rFonts w:ascii="Garamond" w:hAnsi="Garamond"/>
          <w:sz w:val="24"/>
          <w:szCs w:val="24"/>
          <w:lang w:val="en"/>
        </w:rPr>
        <w:t xml:space="preserve"> bring individual expertise in reviewing these plans</w:t>
      </w:r>
      <w:r w:rsidRPr="00D27CF3">
        <w:rPr>
          <w:rFonts w:ascii="Garamond" w:hAnsi="Garamond"/>
          <w:sz w:val="24"/>
          <w:szCs w:val="24"/>
          <w:lang w:val="en"/>
        </w:rPr>
        <w:t xml:space="preserve">, independent </w:t>
      </w:r>
      <w:r w:rsidR="003D4259">
        <w:rPr>
          <w:rFonts w:ascii="Garamond" w:hAnsi="Garamond"/>
          <w:sz w:val="24"/>
          <w:szCs w:val="24"/>
          <w:lang w:val="en"/>
        </w:rPr>
        <w:t>of</w:t>
      </w:r>
      <w:r w:rsidRPr="00D27CF3">
        <w:rPr>
          <w:rFonts w:ascii="Garamond" w:hAnsi="Garamond"/>
          <w:sz w:val="24"/>
          <w:szCs w:val="24"/>
          <w:lang w:val="en"/>
        </w:rPr>
        <w:t xml:space="preserve"> current CPUC actions.  </w:t>
      </w:r>
      <w:r w:rsidR="003D4259">
        <w:rPr>
          <w:rFonts w:ascii="Garamond" w:hAnsi="Garamond"/>
          <w:sz w:val="24"/>
          <w:szCs w:val="24"/>
          <w:lang w:val="en"/>
        </w:rPr>
        <w:t xml:space="preserve">In </w:t>
      </w:r>
      <w:r w:rsidR="00511C55">
        <w:rPr>
          <w:rFonts w:ascii="Garamond" w:hAnsi="Garamond"/>
          <w:sz w:val="24"/>
          <w:szCs w:val="24"/>
          <w:lang w:val="en"/>
        </w:rPr>
        <w:t xml:space="preserve">its first </w:t>
      </w:r>
      <w:r w:rsidR="003D4259">
        <w:rPr>
          <w:rFonts w:ascii="Garamond" w:hAnsi="Garamond"/>
          <w:sz w:val="24"/>
          <w:szCs w:val="24"/>
          <w:lang w:val="en"/>
        </w:rPr>
        <w:t xml:space="preserve">review, </w:t>
      </w:r>
      <w:r w:rsidR="00511C55">
        <w:rPr>
          <w:rFonts w:ascii="Garamond" w:hAnsi="Garamond"/>
          <w:sz w:val="24"/>
          <w:szCs w:val="24"/>
          <w:lang w:val="en"/>
        </w:rPr>
        <w:t xml:space="preserve">Board </w:t>
      </w:r>
      <w:r w:rsidRPr="00D27CF3">
        <w:rPr>
          <w:rFonts w:ascii="Garamond" w:hAnsi="Garamond"/>
          <w:sz w:val="24"/>
          <w:szCs w:val="24"/>
          <w:lang w:val="en"/>
        </w:rPr>
        <w:t xml:space="preserve">recommendations </w:t>
      </w:r>
      <w:r w:rsidR="003D4259">
        <w:rPr>
          <w:rFonts w:ascii="Garamond" w:hAnsi="Garamond"/>
          <w:sz w:val="24"/>
          <w:szCs w:val="24"/>
          <w:lang w:val="en"/>
        </w:rPr>
        <w:t xml:space="preserve">may </w:t>
      </w:r>
      <w:r w:rsidRPr="00D27CF3">
        <w:rPr>
          <w:rFonts w:ascii="Garamond" w:hAnsi="Garamond"/>
          <w:sz w:val="24"/>
          <w:szCs w:val="24"/>
          <w:lang w:val="en"/>
        </w:rPr>
        <w:t>overlap efforts that are ongoing in open CPUC formal proceedings</w:t>
      </w:r>
      <w:r w:rsidR="00935470">
        <w:rPr>
          <w:rFonts w:ascii="Garamond" w:hAnsi="Garamond"/>
          <w:sz w:val="24"/>
          <w:szCs w:val="24"/>
          <w:lang w:val="en"/>
        </w:rPr>
        <w:t xml:space="preserve">.  </w:t>
      </w:r>
      <w:r w:rsidR="00996625">
        <w:rPr>
          <w:rFonts w:ascii="Garamond" w:hAnsi="Garamond"/>
          <w:sz w:val="24"/>
          <w:szCs w:val="24"/>
          <w:lang w:val="en"/>
        </w:rPr>
        <w:t>We anticipate that a</w:t>
      </w:r>
      <w:r w:rsidRPr="00D27CF3">
        <w:rPr>
          <w:rFonts w:ascii="Garamond" w:hAnsi="Garamond"/>
          <w:sz w:val="24"/>
          <w:szCs w:val="24"/>
          <w:lang w:val="en"/>
        </w:rPr>
        <w:t>s wildfire mitigation work progresses, the various forums for procedural developments</w:t>
      </w:r>
      <w:r w:rsidR="00996625">
        <w:rPr>
          <w:rFonts w:ascii="Garamond" w:hAnsi="Garamond"/>
          <w:sz w:val="24"/>
          <w:szCs w:val="24"/>
          <w:lang w:val="en"/>
        </w:rPr>
        <w:t xml:space="preserve"> will </w:t>
      </w:r>
      <w:r w:rsidRPr="00D27CF3">
        <w:rPr>
          <w:rFonts w:ascii="Garamond" w:hAnsi="Garamond"/>
          <w:sz w:val="24"/>
          <w:szCs w:val="24"/>
          <w:lang w:val="en"/>
        </w:rPr>
        <w:t>be brought together into the WMP documents</w:t>
      </w:r>
      <w:r w:rsidR="00511C55">
        <w:rPr>
          <w:rFonts w:ascii="Garamond" w:hAnsi="Garamond"/>
          <w:sz w:val="24"/>
          <w:szCs w:val="24"/>
          <w:lang w:val="en"/>
        </w:rPr>
        <w:t>.</w:t>
      </w:r>
      <w:r w:rsidR="00996625">
        <w:rPr>
          <w:rFonts w:ascii="Garamond" w:hAnsi="Garamond"/>
          <w:sz w:val="24"/>
          <w:szCs w:val="24"/>
          <w:lang w:val="en"/>
        </w:rPr>
        <w:t xml:space="preserve"> </w:t>
      </w:r>
    </w:p>
    <w:p w14:paraId="34BF0D13" w14:textId="5459DCF2" w:rsidR="00143D8A" w:rsidRDefault="00143D8A" w:rsidP="00C115EF">
      <w:pPr>
        <w:spacing w:after="0"/>
        <w:rPr>
          <w:rFonts w:ascii="Garamond" w:hAnsi="Garamond"/>
          <w:sz w:val="24"/>
          <w:szCs w:val="24"/>
        </w:rPr>
      </w:pPr>
    </w:p>
    <w:p w14:paraId="72531580" w14:textId="4ADA4A2A" w:rsidR="008A5C9E" w:rsidRPr="00143D8A" w:rsidRDefault="00B678CF" w:rsidP="00C115EF">
      <w:pPr>
        <w:pStyle w:val="ListParagraph"/>
        <w:numPr>
          <w:ilvl w:val="0"/>
          <w:numId w:val="5"/>
        </w:numPr>
        <w:contextualSpacing w:val="0"/>
        <w:rPr>
          <w:rFonts w:ascii="Century Gothic" w:hAnsi="Century Gothic"/>
        </w:rPr>
      </w:pPr>
      <w:r w:rsidRPr="00143D8A">
        <w:rPr>
          <w:rFonts w:ascii="Century Gothic" w:hAnsi="Century Gothic"/>
        </w:rPr>
        <w:t xml:space="preserve">Areas of Review and </w:t>
      </w:r>
      <w:r w:rsidR="00582FAE" w:rsidRPr="00143D8A">
        <w:rPr>
          <w:rFonts w:ascii="Century Gothic" w:hAnsi="Century Gothic"/>
        </w:rPr>
        <w:t xml:space="preserve">Focus </w:t>
      </w:r>
      <w:r w:rsidRPr="00143D8A">
        <w:rPr>
          <w:rFonts w:ascii="Century Gothic" w:hAnsi="Century Gothic"/>
        </w:rPr>
        <w:t xml:space="preserve">of </w:t>
      </w:r>
      <w:r w:rsidR="00D27CF3" w:rsidRPr="00143D8A">
        <w:rPr>
          <w:rFonts w:ascii="Century Gothic" w:hAnsi="Century Gothic"/>
        </w:rPr>
        <w:t>Recommendations</w:t>
      </w:r>
    </w:p>
    <w:p w14:paraId="4AC3DE5A" w14:textId="2088018A" w:rsidR="00410BFA" w:rsidRDefault="008A5C9E" w:rsidP="00855C71">
      <w:pPr>
        <w:rPr>
          <w:rFonts w:ascii="Garamond" w:hAnsi="Garamond"/>
          <w:sz w:val="24"/>
          <w:szCs w:val="24"/>
        </w:rPr>
      </w:pPr>
      <w:r>
        <w:rPr>
          <w:rFonts w:ascii="Garamond" w:hAnsi="Garamond"/>
          <w:sz w:val="24"/>
          <w:szCs w:val="24"/>
        </w:rPr>
        <w:t xml:space="preserve">As the Board considered the </w:t>
      </w:r>
      <w:r w:rsidR="00B62FC8">
        <w:rPr>
          <w:rFonts w:ascii="Garamond" w:hAnsi="Garamond"/>
          <w:sz w:val="24"/>
          <w:szCs w:val="24"/>
        </w:rPr>
        <w:t xml:space="preserve">efforts </w:t>
      </w:r>
      <w:r w:rsidR="009B0F01">
        <w:rPr>
          <w:rFonts w:ascii="Garamond" w:hAnsi="Garamond"/>
          <w:sz w:val="24"/>
          <w:szCs w:val="24"/>
        </w:rPr>
        <w:t xml:space="preserve">documented in </w:t>
      </w:r>
      <w:r w:rsidR="00966323">
        <w:rPr>
          <w:rFonts w:ascii="Garamond" w:hAnsi="Garamond"/>
          <w:sz w:val="24"/>
          <w:szCs w:val="24"/>
        </w:rPr>
        <w:t xml:space="preserve">the </w:t>
      </w:r>
      <w:r w:rsidR="005004CC">
        <w:rPr>
          <w:rFonts w:ascii="Garamond" w:hAnsi="Garamond"/>
          <w:sz w:val="24"/>
          <w:szCs w:val="24"/>
        </w:rPr>
        <w:t xml:space="preserve">utility </w:t>
      </w:r>
      <w:r w:rsidR="00110C97">
        <w:rPr>
          <w:rFonts w:ascii="Garamond" w:hAnsi="Garamond"/>
          <w:sz w:val="24"/>
          <w:szCs w:val="24"/>
        </w:rPr>
        <w:t>WMPs</w:t>
      </w:r>
      <w:r>
        <w:rPr>
          <w:rFonts w:ascii="Garamond" w:hAnsi="Garamond"/>
          <w:sz w:val="24"/>
          <w:szCs w:val="24"/>
        </w:rPr>
        <w:t xml:space="preserve"> to </w:t>
      </w:r>
      <w:r w:rsidR="00966323">
        <w:rPr>
          <w:rFonts w:ascii="Garamond" w:hAnsi="Garamond"/>
          <w:sz w:val="24"/>
          <w:szCs w:val="24"/>
        </w:rPr>
        <w:t>protect communities</w:t>
      </w:r>
      <w:r w:rsidR="00966323" w:rsidDel="00B62FC8">
        <w:rPr>
          <w:rFonts w:ascii="Garamond" w:hAnsi="Garamond"/>
          <w:sz w:val="24"/>
          <w:szCs w:val="24"/>
        </w:rPr>
        <w:t xml:space="preserve"> </w:t>
      </w:r>
      <w:r w:rsidR="00966323">
        <w:rPr>
          <w:rFonts w:ascii="Garamond" w:hAnsi="Garamond"/>
          <w:sz w:val="24"/>
          <w:szCs w:val="24"/>
        </w:rPr>
        <w:t xml:space="preserve">by </w:t>
      </w:r>
      <w:r w:rsidR="00B62FC8">
        <w:rPr>
          <w:rFonts w:ascii="Garamond" w:hAnsi="Garamond"/>
          <w:sz w:val="24"/>
          <w:szCs w:val="24"/>
        </w:rPr>
        <w:t>prevent</w:t>
      </w:r>
      <w:r w:rsidR="00966323">
        <w:rPr>
          <w:rFonts w:ascii="Garamond" w:hAnsi="Garamond"/>
          <w:sz w:val="24"/>
          <w:szCs w:val="24"/>
        </w:rPr>
        <w:t>ing</w:t>
      </w:r>
      <w:r w:rsidR="00B62FC8">
        <w:rPr>
          <w:rFonts w:ascii="Garamond" w:hAnsi="Garamond"/>
          <w:sz w:val="24"/>
          <w:szCs w:val="24"/>
        </w:rPr>
        <w:t xml:space="preserve"> </w:t>
      </w:r>
      <w:r>
        <w:rPr>
          <w:rFonts w:ascii="Garamond" w:hAnsi="Garamond"/>
          <w:sz w:val="24"/>
          <w:szCs w:val="24"/>
        </w:rPr>
        <w:t>ignition</w:t>
      </w:r>
      <w:r w:rsidR="005004CC">
        <w:rPr>
          <w:rFonts w:ascii="Garamond" w:hAnsi="Garamond"/>
          <w:sz w:val="24"/>
          <w:szCs w:val="24"/>
        </w:rPr>
        <w:t>s caused by utility infrastructure</w:t>
      </w:r>
      <w:r>
        <w:rPr>
          <w:rFonts w:ascii="Garamond" w:hAnsi="Garamond"/>
          <w:sz w:val="24"/>
          <w:szCs w:val="24"/>
        </w:rPr>
        <w:t xml:space="preserve"> and </w:t>
      </w:r>
      <w:r w:rsidR="00966323">
        <w:rPr>
          <w:rFonts w:ascii="Garamond" w:hAnsi="Garamond"/>
          <w:sz w:val="24"/>
          <w:szCs w:val="24"/>
        </w:rPr>
        <w:t xml:space="preserve">reducing </w:t>
      </w:r>
      <w:r>
        <w:rPr>
          <w:rFonts w:ascii="Garamond" w:hAnsi="Garamond"/>
          <w:sz w:val="24"/>
          <w:szCs w:val="24"/>
        </w:rPr>
        <w:t>the impacts of deenergiz</w:t>
      </w:r>
      <w:r w:rsidR="00966323">
        <w:rPr>
          <w:rFonts w:ascii="Garamond" w:hAnsi="Garamond"/>
          <w:sz w:val="24"/>
          <w:szCs w:val="24"/>
        </w:rPr>
        <w:t>ation</w:t>
      </w:r>
      <w:r>
        <w:rPr>
          <w:rFonts w:ascii="Garamond" w:hAnsi="Garamond"/>
          <w:sz w:val="24"/>
          <w:szCs w:val="24"/>
        </w:rPr>
        <w:t>, t</w:t>
      </w:r>
      <w:r w:rsidR="00582FAE">
        <w:rPr>
          <w:rFonts w:ascii="Garamond" w:hAnsi="Garamond"/>
          <w:sz w:val="24"/>
          <w:szCs w:val="24"/>
        </w:rPr>
        <w:t xml:space="preserve">he Board </w:t>
      </w:r>
      <w:r w:rsidR="000D713F">
        <w:rPr>
          <w:rFonts w:ascii="Garamond" w:hAnsi="Garamond"/>
          <w:sz w:val="24"/>
          <w:szCs w:val="24"/>
        </w:rPr>
        <w:t xml:space="preserve">focused on four main categories </w:t>
      </w:r>
      <w:r w:rsidR="00410BFA">
        <w:rPr>
          <w:rFonts w:ascii="Garamond" w:hAnsi="Garamond"/>
          <w:sz w:val="24"/>
          <w:szCs w:val="24"/>
        </w:rPr>
        <w:t>in order to develop</w:t>
      </w:r>
      <w:r w:rsidR="000D713F">
        <w:rPr>
          <w:rFonts w:ascii="Garamond" w:hAnsi="Garamond"/>
          <w:sz w:val="24"/>
          <w:szCs w:val="24"/>
        </w:rPr>
        <w:t xml:space="preserve"> our recommendations</w:t>
      </w:r>
      <w:r w:rsidR="00EF0A24">
        <w:rPr>
          <w:rFonts w:ascii="Garamond" w:hAnsi="Garamond"/>
          <w:sz w:val="24"/>
          <w:szCs w:val="24"/>
        </w:rPr>
        <w:t xml:space="preserve">:  </w:t>
      </w:r>
    </w:p>
    <w:p w14:paraId="4E033B7C" w14:textId="6BABE460" w:rsidR="00410BFA" w:rsidRPr="004B215D" w:rsidRDefault="00EA5689" w:rsidP="00C115EF">
      <w:pPr>
        <w:pStyle w:val="ListParagraph"/>
        <w:numPr>
          <w:ilvl w:val="0"/>
          <w:numId w:val="46"/>
        </w:numPr>
        <w:ind w:left="900" w:hanging="540"/>
        <w:contextualSpacing w:val="0"/>
        <w:rPr>
          <w:rFonts w:ascii="Garamond" w:hAnsi="Garamond"/>
          <w:sz w:val="24"/>
          <w:szCs w:val="24"/>
        </w:rPr>
      </w:pPr>
      <w:r w:rsidRPr="004B215D">
        <w:rPr>
          <w:rFonts w:ascii="Garamond" w:hAnsi="Garamond"/>
          <w:sz w:val="24"/>
          <w:szCs w:val="24"/>
        </w:rPr>
        <w:t>Vegetation management and inspections</w:t>
      </w:r>
      <w:r w:rsidR="00EF0A24">
        <w:rPr>
          <w:rFonts w:ascii="Garamond" w:hAnsi="Garamond"/>
          <w:sz w:val="24"/>
          <w:szCs w:val="24"/>
        </w:rPr>
        <w:t>,</w:t>
      </w:r>
      <w:r w:rsidRPr="004B215D">
        <w:rPr>
          <w:rFonts w:ascii="Garamond" w:hAnsi="Garamond"/>
          <w:sz w:val="24"/>
          <w:szCs w:val="24"/>
        </w:rPr>
        <w:t xml:space="preserve"> </w:t>
      </w:r>
    </w:p>
    <w:p w14:paraId="74AE5B80" w14:textId="3C652FF6" w:rsidR="00410BFA" w:rsidRPr="004B215D" w:rsidRDefault="00AD600C" w:rsidP="00C115EF">
      <w:pPr>
        <w:pStyle w:val="ListParagraph"/>
        <w:numPr>
          <w:ilvl w:val="0"/>
          <w:numId w:val="46"/>
        </w:numPr>
        <w:ind w:left="900" w:hanging="540"/>
        <w:contextualSpacing w:val="0"/>
        <w:rPr>
          <w:rFonts w:ascii="Garamond" w:hAnsi="Garamond"/>
          <w:sz w:val="24"/>
          <w:szCs w:val="24"/>
        </w:rPr>
      </w:pPr>
      <w:r w:rsidRPr="004B215D">
        <w:rPr>
          <w:rFonts w:ascii="Garamond" w:hAnsi="Garamond"/>
          <w:sz w:val="24"/>
          <w:szCs w:val="24"/>
        </w:rPr>
        <w:t>Grid design and system hardening</w:t>
      </w:r>
      <w:r w:rsidR="00EF0A24">
        <w:rPr>
          <w:rFonts w:ascii="Garamond" w:hAnsi="Garamond"/>
          <w:sz w:val="24"/>
          <w:szCs w:val="24"/>
        </w:rPr>
        <w:t>,</w:t>
      </w:r>
    </w:p>
    <w:p w14:paraId="11480443" w14:textId="704792DD" w:rsidR="00410BFA" w:rsidRPr="004B215D" w:rsidRDefault="00AD600C" w:rsidP="00C115EF">
      <w:pPr>
        <w:pStyle w:val="ListParagraph"/>
        <w:numPr>
          <w:ilvl w:val="0"/>
          <w:numId w:val="46"/>
        </w:numPr>
        <w:ind w:left="900" w:hanging="540"/>
        <w:contextualSpacing w:val="0"/>
        <w:rPr>
          <w:rFonts w:ascii="Garamond" w:hAnsi="Garamond"/>
          <w:sz w:val="24"/>
          <w:szCs w:val="24"/>
        </w:rPr>
      </w:pPr>
      <w:r w:rsidRPr="004B215D">
        <w:rPr>
          <w:rFonts w:ascii="Garamond" w:hAnsi="Garamond"/>
          <w:sz w:val="24"/>
          <w:szCs w:val="24"/>
        </w:rPr>
        <w:t xml:space="preserve">Resource allocation methodology including “Risk Spend Efficiency,” and </w:t>
      </w:r>
    </w:p>
    <w:p w14:paraId="09AE7F9A" w14:textId="1CDFBBF8" w:rsidR="00410BFA" w:rsidRPr="004B215D" w:rsidRDefault="00FB183C" w:rsidP="00C115EF">
      <w:pPr>
        <w:pStyle w:val="ListParagraph"/>
        <w:numPr>
          <w:ilvl w:val="0"/>
          <w:numId w:val="46"/>
        </w:numPr>
        <w:ind w:left="900" w:hanging="540"/>
        <w:contextualSpacing w:val="0"/>
        <w:rPr>
          <w:rFonts w:ascii="Garamond" w:hAnsi="Garamond"/>
          <w:sz w:val="24"/>
          <w:szCs w:val="24"/>
        </w:rPr>
      </w:pPr>
      <w:r w:rsidRPr="004B215D">
        <w:rPr>
          <w:rFonts w:ascii="Garamond" w:hAnsi="Garamond"/>
          <w:sz w:val="24"/>
          <w:szCs w:val="24"/>
        </w:rPr>
        <w:t>Communication with the community, planning, preparedness and recovery after Public Safety Power Shutoff</w:t>
      </w:r>
      <w:r w:rsidR="00216C2B">
        <w:rPr>
          <w:rFonts w:ascii="Garamond" w:hAnsi="Garamond"/>
          <w:sz w:val="24"/>
          <w:szCs w:val="24"/>
        </w:rPr>
        <w:t xml:space="preserve"> (</w:t>
      </w:r>
      <w:r w:rsidRPr="004B215D">
        <w:rPr>
          <w:rFonts w:ascii="Garamond" w:hAnsi="Garamond"/>
          <w:sz w:val="24"/>
          <w:szCs w:val="24"/>
        </w:rPr>
        <w:t>PSPS</w:t>
      </w:r>
      <w:r w:rsidR="00216C2B">
        <w:rPr>
          <w:rFonts w:ascii="Garamond" w:hAnsi="Garamond"/>
          <w:sz w:val="24"/>
          <w:szCs w:val="24"/>
        </w:rPr>
        <w:t>)</w:t>
      </w:r>
      <w:r w:rsidRPr="004B215D">
        <w:rPr>
          <w:rFonts w:ascii="Garamond" w:hAnsi="Garamond"/>
          <w:sz w:val="24"/>
          <w:szCs w:val="24"/>
        </w:rPr>
        <w:t xml:space="preserve"> events.</w:t>
      </w:r>
      <w:r w:rsidR="00164603" w:rsidRPr="004B215D">
        <w:rPr>
          <w:rFonts w:ascii="Garamond" w:hAnsi="Garamond"/>
          <w:sz w:val="24"/>
          <w:szCs w:val="24"/>
        </w:rPr>
        <w:t xml:space="preserve"> </w:t>
      </w:r>
    </w:p>
    <w:p w14:paraId="1EAF534E" w14:textId="75C005C5" w:rsidR="005A4EE5" w:rsidRDefault="000D713F" w:rsidP="003471E8">
      <w:pPr>
        <w:rPr>
          <w:rFonts w:ascii="Garamond" w:hAnsi="Garamond"/>
          <w:sz w:val="24"/>
          <w:szCs w:val="24"/>
        </w:rPr>
      </w:pPr>
      <w:r>
        <w:rPr>
          <w:rFonts w:ascii="Garamond" w:hAnsi="Garamond"/>
          <w:sz w:val="24"/>
          <w:szCs w:val="24"/>
        </w:rPr>
        <w:t xml:space="preserve">Throughout the development of our recommendations, </w:t>
      </w:r>
      <w:r w:rsidR="00FB183C">
        <w:rPr>
          <w:rFonts w:ascii="Garamond" w:hAnsi="Garamond"/>
          <w:sz w:val="24"/>
          <w:szCs w:val="24"/>
        </w:rPr>
        <w:t xml:space="preserve">these </w:t>
      </w:r>
      <w:r w:rsidR="00410BFA">
        <w:rPr>
          <w:rFonts w:ascii="Garamond" w:hAnsi="Garamond"/>
          <w:sz w:val="24"/>
          <w:szCs w:val="24"/>
        </w:rPr>
        <w:t>four</w:t>
      </w:r>
      <w:r w:rsidR="00FB183C">
        <w:rPr>
          <w:rFonts w:ascii="Garamond" w:hAnsi="Garamond"/>
          <w:sz w:val="24"/>
          <w:szCs w:val="24"/>
        </w:rPr>
        <w:t xml:space="preserve"> broad</w:t>
      </w:r>
      <w:r w:rsidR="005A24B3">
        <w:rPr>
          <w:rFonts w:ascii="Garamond" w:hAnsi="Garamond"/>
          <w:sz w:val="24"/>
          <w:szCs w:val="24"/>
        </w:rPr>
        <w:t xml:space="preserve"> categories </w:t>
      </w:r>
      <w:r w:rsidR="00410BFA">
        <w:rPr>
          <w:rFonts w:ascii="Garamond" w:hAnsi="Garamond"/>
          <w:sz w:val="24"/>
          <w:szCs w:val="24"/>
        </w:rPr>
        <w:t>overlapped</w:t>
      </w:r>
      <w:r w:rsidR="005A24B3">
        <w:rPr>
          <w:rFonts w:ascii="Garamond" w:hAnsi="Garamond"/>
          <w:sz w:val="24"/>
          <w:szCs w:val="24"/>
        </w:rPr>
        <w:t xml:space="preserve"> </w:t>
      </w:r>
      <w:r w:rsidR="00251688">
        <w:rPr>
          <w:rFonts w:ascii="Garamond" w:hAnsi="Garamond"/>
          <w:sz w:val="24"/>
          <w:szCs w:val="24"/>
        </w:rPr>
        <w:t>with the ten maturity model categories</w:t>
      </w:r>
      <w:r w:rsidR="00164603">
        <w:rPr>
          <w:rFonts w:ascii="Garamond" w:hAnsi="Garamond"/>
          <w:sz w:val="24"/>
          <w:szCs w:val="24"/>
        </w:rPr>
        <w:t xml:space="preserve"> </w:t>
      </w:r>
      <w:r w:rsidR="00410BFA">
        <w:rPr>
          <w:rFonts w:ascii="Garamond" w:hAnsi="Garamond"/>
          <w:sz w:val="24"/>
          <w:szCs w:val="24"/>
        </w:rPr>
        <w:t xml:space="preserve">that </w:t>
      </w:r>
      <w:r w:rsidR="00D53041">
        <w:rPr>
          <w:rFonts w:ascii="Garamond" w:hAnsi="Garamond"/>
          <w:sz w:val="24"/>
          <w:szCs w:val="24"/>
        </w:rPr>
        <w:t>organize</w:t>
      </w:r>
      <w:r w:rsidR="006D5145">
        <w:rPr>
          <w:rFonts w:ascii="Garamond" w:hAnsi="Garamond"/>
          <w:sz w:val="24"/>
          <w:szCs w:val="24"/>
        </w:rPr>
        <w:t xml:space="preserve"> utility wildfire safety planning.</w:t>
      </w:r>
      <w:r w:rsidR="008A51DC">
        <w:rPr>
          <w:rStyle w:val="FootnoteReference"/>
          <w:rFonts w:ascii="Garamond" w:hAnsi="Garamond"/>
          <w:sz w:val="24"/>
          <w:szCs w:val="24"/>
        </w:rPr>
        <w:footnoteReference w:id="9"/>
      </w:r>
      <w:r w:rsidR="006D5145">
        <w:rPr>
          <w:rFonts w:ascii="Garamond" w:hAnsi="Garamond"/>
          <w:sz w:val="24"/>
          <w:szCs w:val="24"/>
        </w:rPr>
        <w:t xml:space="preserve">  These elements are called out </w:t>
      </w:r>
      <w:r w:rsidR="00D53041">
        <w:rPr>
          <w:rFonts w:ascii="Garamond" w:hAnsi="Garamond"/>
          <w:sz w:val="24"/>
          <w:szCs w:val="24"/>
        </w:rPr>
        <w:t>at the top of</w:t>
      </w:r>
      <w:r w:rsidR="006D5145">
        <w:rPr>
          <w:rFonts w:ascii="Garamond" w:hAnsi="Garamond"/>
          <w:sz w:val="24"/>
          <w:szCs w:val="24"/>
        </w:rPr>
        <w:t xml:space="preserve"> each of the recommendation</w:t>
      </w:r>
      <w:r w:rsidR="00D53041">
        <w:rPr>
          <w:rFonts w:ascii="Garamond" w:hAnsi="Garamond"/>
          <w:sz w:val="24"/>
          <w:szCs w:val="24"/>
        </w:rPr>
        <w:t xml:space="preserve"> in order</w:t>
      </w:r>
      <w:r w:rsidR="006D5145">
        <w:rPr>
          <w:rFonts w:ascii="Garamond" w:hAnsi="Garamond"/>
          <w:sz w:val="24"/>
          <w:szCs w:val="24"/>
        </w:rPr>
        <w:t xml:space="preserve"> to provide additional detail as to how these recommendations might be </w:t>
      </w:r>
      <w:r w:rsidR="00134BAA">
        <w:rPr>
          <w:rFonts w:ascii="Garamond" w:hAnsi="Garamond"/>
          <w:sz w:val="24"/>
          <w:szCs w:val="24"/>
        </w:rPr>
        <w:t xml:space="preserve">considered by utilities, Wildfire Safety Division, and the CPUC going forward. </w:t>
      </w:r>
    </w:p>
    <w:p w14:paraId="0A077871" w14:textId="77777777" w:rsidR="005A4EE5" w:rsidRDefault="005A4EE5" w:rsidP="00855C71">
      <w:pPr>
        <w:spacing w:after="0"/>
        <w:rPr>
          <w:rFonts w:ascii="Garamond" w:hAnsi="Garamond"/>
          <w:sz w:val="24"/>
          <w:szCs w:val="24"/>
        </w:rPr>
      </w:pPr>
    </w:p>
    <w:p w14:paraId="0AB8040A" w14:textId="774071D5" w:rsidR="00925763" w:rsidRPr="00143D8A" w:rsidRDefault="00925763" w:rsidP="00C115EF">
      <w:pPr>
        <w:pStyle w:val="ListParagraph"/>
        <w:numPr>
          <w:ilvl w:val="0"/>
          <w:numId w:val="5"/>
        </w:numPr>
        <w:contextualSpacing w:val="0"/>
        <w:rPr>
          <w:rFonts w:ascii="Century Gothic" w:hAnsi="Century Gothic"/>
        </w:rPr>
      </w:pPr>
      <w:r w:rsidRPr="00143D8A">
        <w:rPr>
          <w:rFonts w:ascii="Century Gothic" w:hAnsi="Century Gothic"/>
        </w:rPr>
        <w:t>Themes</w:t>
      </w:r>
      <w:r w:rsidR="00EC0DDB" w:rsidRPr="00143D8A">
        <w:rPr>
          <w:rFonts w:ascii="Century Gothic" w:hAnsi="Century Gothic"/>
        </w:rPr>
        <w:t xml:space="preserve"> </w:t>
      </w:r>
      <w:r w:rsidR="00595AC4" w:rsidRPr="00143D8A">
        <w:rPr>
          <w:rFonts w:ascii="Century Gothic" w:hAnsi="Century Gothic"/>
        </w:rPr>
        <w:t>/</w:t>
      </w:r>
      <w:r w:rsidR="00EC0DDB" w:rsidRPr="00143D8A">
        <w:rPr>
          <w:rFonts w:ascii="Century Gothic" w:hAnsi="Century Gothic"/>
        </w:rPr>
        <w:t xml:space="preserve"> </w:t>
      </w:r>
      <w:r w:rsidR="00110CDF" w:rsidRPr="00143D8A">
        <w:rPr>
          <w:rFonts w:ascii="Century Gothic" w:hAnsi="Century Gothic"/>
        </w:rPr>
        <w:t>F</w:t>
      </w:r>
      <w:r w:rsidR="00EC0DDB" w:rsidRPr="00143D8A">
        <w:rPr>
          <w:rFonts w:ascii="Century Gothic" w:hAnsi="Century Gothic"/>
        </w:rPr>
        <w:t>indings</w:t>
      </w:r>
      <w:r w:rsidR="00110CDF" w:rsidRPr="00143D8A">
        <w:rPr>
          <w:rFonts w:ascii="Century Gothic" w:hAnsi="Century Gothic"/>
        </w:rPr>
        <w:t xml:space="preserve"> </w:t>
      </w:r>
    </w:p>
    <w:p w14:paraId="67C39F6D" w14:textId="4C32552B" w:rsidR="00482879" w:rsidRPr="00C115EF" w:rsidRDefault="00D25065" w:rsidP="00855C71">
      <w:pPr>
        <w:rPr>
          <w:rFonts w:ascii="Garamond" w:hAnsi="Garamond"/>
          <w:sz w:val="24"/>
          <w:szCs w:val="24"/>
        </w:rPr>
      </w:pPr>
      <w:r w:rsidRPr="00C115EF">
        <w:rPr>
          <w:rFonts w:ascii="Garamond" w:hAnsi="Garamond"/>
          <w:sz w:val="24"/>
          <w:szCs w:val="24"/>
        </w:rPr>
        <w:t xml:space="preserve">Throughout the process of drafting these recommendations, </w:t>
      </w:r>
      <w:r w:rsidR="005A6DD4" w:rsidRPr="00C115EF">
        <w:rPr>
          <w:rFonts w:ascii="Garamond" w:hAnsi="Garamond"/>
          <w:sz w:val="24"/>
          <w:szCs w:val="24"/>
        </w:rPr>
        <w:t xml:space="preserve">several </w:t>
      </w:r>
      <w:r w:rsidR="00CA5F77" w:rsidRPr="00C115EF">
        <w:rPr>
          <w:rFonts w:ascii="Garamond" w:hAnsi="Garamond"/>
          <w:sz w:val="24"/>
          <w:szCs w:val="24"/>
        </w:rPr>
        <w:t xml:space="preserve">issues </w:t>
      </w:r>
      <w:r w:rsidR="002C43DD" w:rsidRPr="00C115EF">
        <w:rPr>
          <w:rFonts w:ascii="Garamond" w:hAnsi="Garamond"/>
          <w:sz w:val="24"/>
          <w:szCs w:val="24"/>
        </w:rPr>
        <w:t>reappeared in a variety of ways.  These</w:t>
      </w:r>
      <w:r w:rsidR="00B94FE7" w:rsidRPr="00C115EF">
        <w:rPr>
          <w:rFonts w:ascii="Garamond" w:hAnsi="Garamond"/>
          <w:sz w:val="24"/>
          <w:szCs w:val="24"/>
        </w:rPr>
        <w:t xml:space="preserve"> </w:t>
      </w:r>
      <w:r w:rsidR="002F1B03" w:rsidRPr="00C115EF">
        <w:rPr>
          <w:rFonts w:ascii="Garamond" w:hAnsi="Garamond"/>
          <w:sz w:val="24"/>
          <w:szCs w:val="24"/>
        </w:rPr>
        <w:t>recurring</w:t>
      </w:r>
      <w:r w:rsidR="00B94FE7" w:rsidRPr="00C115EF">
        <w:rPr>
          <w:rFonts w:ascii="Garamond" w:hAnsi="Garamond"/>
          <w:sz w:val="24"/>
          <w:szCs w:val="24"/>
        </w:rPr>
        <w:t xml:space="preserve"> themes</w:t>
      </w:r>
      <w:r w:rsidR="00A276FD" w:rsidRPr="00C115EF">
        <w:rPr>
          <w:rFonts w:ascii="Garamond" w:hAnsi="Garamond"/>
          <w:sz w:val="24"/>
          <w:szCs w:val="24"/>
        </w:rPr>
        <w:t xml:space="preserve"> surfaced as Board Members </w:t>
      </w:r>
      <w:r w:rsidR="00233DF5" w:rsidRPr="00C115EF">
        <w:rPr>
          <w:rFonts w:ascii="Garamond" w:hAnsi="Garamond"/>
          <w:sz w:val="24"/>
          <w:szCs w:val="24"/>
        </w:rPr>
        <w:t>reviewed</w:t>
      </w:r>
      <w:r w:rsidR="00830817" w:rsidRPr="00C115EF">
        <w:rPr>
          <w:rFonts w:ascii="Garamond" w:hAnsi="Garamond"/>
          <w:sz w:val="24"/>
          <w:szCs w:val="24"/>
        </w:rPr>
        <w:t xml:space="preserve"> various areas of the 2020 Wildfire Mitigation Plans</w:t>
      </w:r>
      <w:r w:rsidR="00F2063B" w:rsidRPr="00C115EF">
        <w:rPr>
          <w:rFonts w:ascii="Garamond" w:hAnsi="Garamond"/>
          <w:sz w:val="24"/>
          <w:szCs w:val="24"/>
        </w:rPr>
        <w:t xml:space="preserve"> and synthesized the information against </w:t>
      </w:r>
      <w:r w:rsidR="00C35E0C" w:rsidRPr="00C115EF">
        <w:rPr>
          <w:rFonts w:ascii="Garamond" w:hAnsi="Garamond"/>
          <w:sz w:val="24"/>
          <w:szCs w:val="24"/>
        </w:rPr>
        <w:t>various areas of expertise</w:t>
      </w:r>
      <w:r w:rsidR="00935470">
        <w:rPr>
          <w:rFonts w:ascii="Garamond" w:hAnsi="Garamond"/>
          <w:sz w:val="24"/>
          <w:szCs w:val="24"/>
        </w:rPr>
        <w:t xml:space="preserve">.  </w:t>
      </w:r>
      <w:r w:rsidR="00F2063B" w:rsidRPr="00C115EF">
        <w:rPr>
          <w:rFonts w:ascii="Garamond" w:hAnsi="Garamond"/>
          <w:sz w:val="24"/>
          <w:szCs w:val="24"/>
        </w:rPr>
        <w:t xml:space="preserve">The recommendations that follow </w:t>
      </w:r>
      <w:r w:rsidR="00863BE1" w:rsidRPr="00C115EF">
        <w:rPr>
          <w:rFonts w:ascii="Garamond" w:hAnsi="Garamond"/>
          <w:sz w:val="24"/>
          <w:szCs w:val="24"/>
        </w:rPr>
        <w:t xml:space="preserve">look at different topics </w:t>
      </w:r>
      <w:r w:rsidR="00002F08" w:rsidRPr="00C115EF">
        <w:rPr>
          <w:rFonts w:ascii="Garamond" w:hAnsi="Garamond"/>
          <w:sz w:val="24"/>
          <w:szCs w:val="24"/>
        </w:rPr>
        <w:t>in a straight-</w:t>
      </w:r>
      <w:r w:rsidR="005E4122" w:rsidRPr="00C115EF">
        <w:rPr>
          <w:rFonts w:ascii="Garamond" w:hAnsi="Garamond"/>
          <w:sz w:val="24"/>
          <w:szCs w:val="24"/>
        </w:rPr>
        <w:t xml:space="preserve">forward </w:t>
      </w:r>
      <w:r w:rsidR="00002F08" w:rsidRPr="00C115EF">
        <w:rPr>
          <w:rFonts w:ascii="Garamond" w:hAnsi="Garamond"/>
          <w:sz w:val="24"/>
          <w:szCs w:val="24"/>
        </w:rPr>
        <w:t>fashion</w:t>
      </w:r>
      <w:r w:rsidR="00935470">
        <w:rPr>
          <w:rFonts w:ascii="Garamond" w:hAnsi="Garamond"/>
          <w:sz w:val="24"/>
          <w:szCs w:val="24"/>
        </w:rPr>
        <w:t xml:space="preserve">.  </w:t>
      </w:r>
      <w:r w:rsidR="00002F08" w:rsidRPr="00C115EF">
        <w:rPr>
          <w:rFonts w:ascii="Garamond" w:hAnsi="Garamond"/>
          <w:sz w:val="24"/>
          <w:szCs w:val="24"/>
        </w:rPr>
        <w:t xml:space="preserve">Here, these </w:t>
      </w:r>
      <w:r w:rsidR="000E0B9F" w:rsidRPr="00C115EF">
        <w:rPr>
          <w:rFonts w:ascii="Garamond" w:hAnsi="Garamond"/>
          <w:sz w:val="24"/>
          <w:szCs w:val="24"/>
        </w:rPr>
        <w:t>higher-level</w:t>
      </w:r>
      <w:r w:rsidR="004C7050" w:rsidRPr="00C115EF">
        <w:rPr>
          <w:rFonts w:ascii="Garamond" w:hAnsi="Garamond"/>
          <w:sz w:val="24"/>
          <w:szCs w:val="24"/>
        </w:rPr>
        <w:t xml:space="preserve"> </w:t>
      </w:r>
      <w:r w:rsidR="00002F08" w:rsidRPr="00C115EF">
        <w:rPr>
          <w:rFonts w:ascii="Garamond" w:hAnsi="Garamond"/>
          <w:sz w:val="24"/>
          <w:szCs w:val="24"/>
        </w:rPr>
        <w:t xml:space="preserve">themes are discussed </w:t>
      </w:r>
      <w:r w:rsidR="00F161A9" w:rsidRPr="00C115EF">
        <w:rPr>
          <w:rFonts w:ascii="Garamond" w:hAnsi="Garamond"/>
          <w:sz w:val="24"/>
          <w:szCs w:val="24"/>
        </w:rPr>
        <w:t xml:space="preserve">and can be considered goalposts for </w:t>
      </w:r>
      <w:r w:rsidR="004C7050" w:rsidRPr="00C115EF">
        <w:rPr>
          <w:rFonts w:ascii="Garamond" w:hAnsi="Garamond"/>
          <w:sz w:val="24"/>
          <w:szCs w:val="24"/>
        </w:rPr>
        <w:t>successful wildfire mitigation implementation going forward</w:t>
      </w:r>
      <w:r w:rsidR="005E4122" w:rsidRPr="00C115EF">
        <w:rPr>
          <w:rFonts w:ascii="Garamond" w:hAnsi="Garamond"/>
          <w:sz w:val="24"/>
          <w:szCs w:val="24"/>
        </w:rPr>
        <w:t xml:space="preserve">: </w:t>
      </w:r>
    </w:p>
    <w:p w14:paraId="23040F54" w14:textId="0CE6B535" w:rsidR="00EC0DDB" w:rsidRPr="00C115EF" w:rsidRDefault="00D71A67" w:rsidP="00855C71">
      <w:pPr>
        <w:pStyle w:val="ListParagraph"/>
        <w:numPr>
          <w:ilvl w:val="0"/>
          <w:numId w:val="10"/>
        </w:numPr>
        <w:contextualSpacing w:val="0"/>
        <w:rPr>
          <w:rFonts w:ascii="Garamond" w:hAnsi="Garamond"/>
          <w:sz w:val="24"/>
          <w:szCs w:val="24"/>
        </w:rPr>
      </w:pPr>
      <w:r w:rsidRPr="00C115EF">
        <w:rPr>
          <w:rFonts w:ascii="Garamond" w:hAnsi="Garamond"/>
          <w:sz w:val="24"/>
          <w:szCs w:val="24"/>
        </w:rPr>
        <w:t>F</w:t>
      </w:r>
      <w:r w:rsidR="00B82181" w:rsidRPr="00C115EF">
        <w:rPr>
          <w:rFonts w:ascii="Garamond" w:hAnsi="Garamond"/>
          <w:sz w:val="24"/>
          <w:szCs w:val="24"/>
        </w:rPr>
        <w:t xml:space="preserve">irst, </w:t>
      </w:r>
      <w:r w:rsidR="00F92B2F" w:rsidRPr="00C115EF">
        <w:rPr>
          <w:rFonts w:ascii="Garamond" w:hAnsi="Garamond"/>
          <w:sz w:val="24"/>
          <w:szCs w:val="24"/>
        </w:rPr>
        <w:t xml:space="preserve">the utilities provide a varying degree of detail for each element of their plans.  For the CPUC to be able to review plans and provide feedback and oversight, details matter. </w:t>
      </w:r>
      <w:r w:rsidR="00CF0407" w:rsidRPr="00C115EF">
        <w:rPr>
          <w:rFonts w:ascii="Garamond" w:hAnsi="Garamond"/>
          <w:sz w:val="24"/>
          <w:szCs w:val="24"/>
        </w:rPr>
        <w:t xml:space="preserve"> </w:t>
      </w:r>
      <w:r w:rsidR="00F92B2F" w:rsidRPr="00C115EF">
        <w:rPr>
          <w:rFonts w:ascii="Garamond" w:hAnsi="Garamond"/>
          <w:sz w:val="24"/>
          <w:szCs w:val="24"/>
        </w:rPr>
        <w:t xml:space="preserve">In </w:t>
      </w:r>
      <w:r w:rsidR="00CF0407" w:rsidRPr="00C115EF">
        <w:rPr>
          <w:rFonts w:ascii="Garamond" w:hAnsi="Garamond"/>
          <w:sz w:val="24"/>
          <w:szCs w:val="24"/>
        </w:rPr>
        <w:t xml:space="preserve">each </w:t>
      </w:r>
      <w:r w:rsidR="00F92B2F" w:rsidRPr="00C115EF">
        <w:rPr>
          <w:rFonts w:ascii="Garamond" w:hAnsi="Garamond"/>
          <w:sz w:val="24"/>
          <w:szCs w:val="24"/>
        </w:rPr>
        <w:t>of the recommendations</w:t>
      </w:r>
      <w:r w:rsidR="00143E01" w:rsidRPr="00C115EF">
        <w:rPr>
          <w:rFonts w:ascii="Garamond" w:hAnsi="Garamond"/>
          <w:sz w:val="24"/>
          <w:szCs w:val="24"/>
        </w:rPr>
        <w:t xml:space="preserve"> </w:t>
      </w:r>
      <w:r w:rsidR="00F92B2F" w:rsidRPr="00C115EF">
        <w:rPr>
          <w:rFonts w:ascii="Garamond" w:hAnsi="Garamond"/>
          <w:sz w:val="24"/>
          <w:szCs w:val="24"/>
        </w:rPr>
        <w:t xml:space="preserve">the Board </w:t>
      </w:r>
      <w:r w:rsidR="00482879" w:rsidRPr="00C115EF">
        <w:rPr>
          <w:rFonts w:ascii="Garamond" w:hAnsi="Garamond"/>
          <w:sz w:val="24"/>
          <w:szCs w:val="24"/>
        </w:rPr>
        <w:t xml:space="preserve">includes performance metrics which </w:t>
      </w:r>
      <w:r w:rsidR="00F92B2F" w:rsidRPr="00C115EF">
        <w:rPr>
          <w:rFonts w:ascii="Garamond" w:hAnsi="Garamond"/>
          <w:sz w:val="24"/>
          <w:szCs w:val="24"/>
        </w:rPr>
        <w:t xml:space="preserve">provide </w:t>
      </w:r>
      <w:r w:rsidR="00CF0407" w:rsidRPr="00C115EF">
        <w:rPr>
          <w:rFonts w:ascii="Garamond" w:hAnsi="Garamond"/>
          <w:sz w:val="24"/>
          <w:szCs w:val="24"/>
        </w:rPr>
        <w:t xml:space="preserve">a framework </w:t>
      </w:r>
      <w:r w:rsidR="00CE1BC4" w:rsidRPr="00C115EF">
        <w:rPr>
          <w:rFonts w:ascii="Garamond" w:hAnsi="Garamond"/>
          <w:sz w:val="24"/>
          <w:szCs w:val="24"/>
        </w:rPr>
        <w:t xml:space="preserve">that might be helpful to the utilities </w:t>
      </w:r>
      <w:r w:rsidR="001A43B6" w:rsidRPr="00C115EF">
        <w:rPr>
          <w:rFonts w:ascii="Garamond" w:hAnsi="Garamond"/>
          <w:sz w:val="24"/>
          <w:szCs w:val="24"/>
        </w:rPr>
        <w:t xml:space="preserve">regarding </w:t>
      </w:r>
      <w:r w:rsidR="00CE1BC4" w:rsidRPr="00C115EF">
        <w:rPr>
          <w:rFonts w:ascii="Garamond" w:hAnsi="Garamond"/>
          <w:sz w:val="24"/>
          <w:szCs w:val="24"/>
        </w:rPr>
        <w:t xml:space="preserve">type of information that </w:t>
      </w:r>
      <w:r w:rsidR="00AF097A" w:rsidRPr="00C115EF">
        <w:rPr>
          <w:rFonts w:ascii="Garamond" w:hAnsi="Garamond"/>
          <w:sz w:val="24"/>
          <w:szCs w:val="24"/>
        </w:rPr>
        <w:t>could</w:t>
      </w:r>
      <w:r w:rsidR="00CE1BC4" w:rsidRPr="00C115EF">
        <w:rPr>
          <w:rFonts w:ascii="Garamond" w:hAnsi="Garamond"/>
          <w:sz w:val="24"/>
          <w:szCs w:val="24"/>
        </w:rPr>
        <w:t xml:space="preserve"> be delivered to the CPUC for review</w:t>
      </w:r>
      <w:r w:rsidR="00595AC4" w:rsidRPr="00C115EF">
        <w:rPr>
          <w:rFonts w:ascii="Garamond" w:hAnsi="Garamond"/>
          <w:sz w:val="24"/>
          <w:szCs w:val="24"/>
        </w:rPr>
        <w:t xml:space="preserve"> in the </w:t>
      </w:r>
      <w:r w:rsidR="00D10A77" w:rsidRPr="00C115EF">
        <w:rPr>
          <w:rFonts w:ascii="Garamond" w:hAnsi="Garamond"/>
          <w:sz w:val="24"/>
          <w:szCs w:val="24"/>
        </w:rPr>
        <w:t>future</w:t>
      </w:r>
      <w:r w:rsidR="00974778" w:rsidRPr="00C115EF">
        <w:rPr>
          <w:rFonts w:ascii="Garamond" w:hAnsi="Garamond"/>
          <w:sz w:val="24"/>
          <w:szCs w:val="24"/>
        </w:rPr>
        <w:t>.</w:t>
      </w:r>
      <w:r w:rsidR="00FB0E55" w:rsidRPr="00C115EF">
        <w:rPr>
          <w:rFonts w:ascii="Garamond" w:hAnsi="Garamond"/>
          <w:sz w:val="24"/>
          <w:szCs w:val="24"/>
        </w:rPr>
        <w:t xml:space="preserve">  </w:t>
      </w:r>
    </w:p>
    <w:p w14:paraId="6AF20B4F" w14:textId="1049F300" w:rsidR="00EA218F" w:rsidRPr="00EA218F" w:rsidRDefault="00CB54AE" w:rsidP="00C115EF">
      <w:pPr>
        <w:pStyle w:val="ListParagraph"/>
        <w:numPr>
          <w:ilvl w:val="0"/>
          <w:numId w:val="10"/>
        </w:numPr>
        <w:contextualSpacing w:val="0"/>
        <w:rPr>
          <w:rFonts w:ascii="Garamond" w:eastAsia="Times New Roman" w:hAnsi="Garamond"/>
          <w:i/>
          <w:sz w:val="24"/>
          <w:szCs w:val="24"/>
        </w:rPr>
      </w:pPr>
      <w:r w:rsidRPr="00EA218F">
        <w:rPr>
          <w:rFonts w:ascii="Garamond" w:hAnsi="Garamond"/>
          <w:sz w:val="24"/>
          <w:szCs w:val="24"/>
        </w:rPr>
        <w:t xml:space="preserve">Second, utility wildfire mitigation </w:t>
      </w:r>
      <w:r w:rsidR="005272AD" w:rsidRPr="00EA218F">
        <w:rPr>
          <w:rFonts w:ascii="Garamond" w:hAnsi="Garamond"/>
          <w:sz w:val="24"/>
          <w:szCs w:val="24"/>
        </w:rPr>
        <w:t xml:space="preserve">is creating huge swathes of new data that many organizations </w:t>
      </w:r>
      <w:r w:rsidR="00AF097A">
        <w:rPr>
          <w:rFonts w:ascii="Garamond" w:hAnsi="Garamond"/>
          <w:sz w:val="24"/>
          <w:szCs w:val="24"/>
        </w:rPr>
        <w:t>should</w:t>
      </w:r>
      <w:r w:rsidR="005272AD" w:rsidRPr="00EA218F">
        <w:rPr>
          <w:rFonts w:ascii="Garamond" w:hAnsi="Garamond"/>
          <w:sz w:val="24"/>
          <w:szCs w:val="24"/>
        </w:rPr>
        <w:t xml:space="preserve"> be able to learn from and utilize.  </w:t>
      </w:r>
      <w:r w:rsidR="00712040" w:rsidRPr="00712040">
        <w:rPr>
          <w:rFonts w:ascii="Garamond" w:hAnsi="Garamond"/>
          <w:sz w:val="24"/>
          <w:szCs w:val="24"/>
        </w:rPr>
        <w:t xml:space="preserve">As more information is produced, this data should be neutral and state-managed in a central repository that is sharable by a broader community network of </w:t>
      </w:r>
      <w:r w:rsidR="00030368">
        <w:rPr>
          <w:rFonts w:ascii="Garamond" w:hAnsi="Garamond"/>
          <w:sz w:val="24"/>
          <w:szCs w:val="24"/>
        </w:rPr>
        <w:t xml:space="preserve">researchers and </w:t>
      </w:r>
      <w:r w:rsidR="00712040" w:rsidRPr="00712040">
        <w:rPr>
          <w:rFonts w:ascii="Garamond" w:hAnsi="Garamond"/>
          <w:sz w:val="24"/>
          <w:szCs w:val="24"/>
        </w:rPr>
        <w:t>fire scientists.</w:t>
      </w:r>
      <w:r w:rsidR="00712040">
        <w:rPr>
          <w:rFonts w:ascii="Garamond" w:hAnsi="Garamond"/>
          <w:sz w:val="24"/>
          <w:szCs w:val="24"/>
        </w:rPr>
        <w:t xml:space="preserve"> </w:t>
      </w:r>
      <w:r w:rsidR="001A0930">
        <w:rPr>
          <w:rFonts w:ascii="Garamond" w:hAnsi="Garamond"/>
          <w:sz w:val="24"/>
          <w:szCs w:val="24"/>
        </w:rPr>
        <w:t xml:space="preserve"> </w:t>
      </w:r>
      <w:r w:rsidR="007D49F1" w:rsidRPr="00EA218F">
        <w:rPr>
          <w:rFonts w:ascii="Garamond" w:hAnsi="Garamond"/>
          <w:sz w:val="24"/>
          <w:szCs w:val="24"/>
        </w:rPr>
        <w:t>Federal agencies,</w:t>
      </w:r>
      <w:r w:rsidR="00CE75A9" w:rsidRPr="006D45C2">
        <w:rPr>
          <w:rFonts w:ascii="Garamond" w:hAnsi="Garamond"/>
          <w:sz w:val="24"/>
          <w:szCs w:val="24"/>
        </w:rPr>
        <w:t xml:space="preserve"> and</w:t>
      </w:r>
      <w:r w:rsidR="007D49F1" w:rsidRPr="006D45C2">
        <w:rPr>
          <w:rFonts w:ascii="Garamond" w:hAnsi="Garamond"/>
          <w:sz w:val="24"/>
          <w:szCs w:val="24"/>
        </w:rPr>
        <w:t xml:space="preserve"> insurance </w:t>
      </w:r>
      <w:r w:rsidR="00CE75A9" w:rsidRPr="006D45C2">
        <w:rPr>
          <w:rFonts w:ascii="Garamond" w:hAnsi="Garamond"/>
          <w:sz w:val="24"/>
          <w:szCs w:val="24"/>
        </w:rPr>
        <w:t>com</w:t>
      </w:r>
      <w:r w:rsidR="00CE75A9" w:rsidRPr="00EA218F">
        <w:rPr>
          <w:rFonts w:ascii="Garamond" w:hAnsi="Garamond"/>
          <w:sz w:val="24"/>
          <w:szCs w:val="24"/>
        </w:rPr>
        <w:t>panies</w:t>
      </w:r>
      <w:r w:rsidR="007D49F1" w:rsidRPr="00EA218F">
        <w:rPr>
          <w:rFonts w:ascii="Garamond" w:hAnsi="Garamond"/>
          <w:sz w:val="24"/>
          <w:szCs w:val="24"/>
        </w:rPr>
        <w:t xml:space="preserve">, </w:t>
      </w:r>
      <w:r w:rsidR="0041105E" w:rsidRPr="00EA218F">
        <w:rPr>
          <w:rFonts w:ascii="Garamond" w:hAnsi="Garamond"/>
          <w:sz w:val="24"/>
          <w:szCs w:val="24"/>
        </w:rPr>
        <w:t xml:space="preserve">could </w:t>
      </w:r>
      <w:r w:rsidR="005B040A" w:rsidRPr="00EA218F">
        <w:rPr>
          <w:rFonts w:ascii="Garamond" w:hAnsi="Garamond"/>
          <w:sz w:val="24"/>
          <w:szCs w:val="24"/>
        </w:rPr>
        <w:t>input and utilize this information</w:t>
      </w:r>
      <w:r w:rsidR="00110CDF" w:rsidRPr="00EA218F">
        <w:rPr>
          <w:rFonts w:ascii="Garamond" w:hAnsi="Garamond"/>
          <w:sz w:val="24"/>
          <w:szCs w:val="24"/>
        </w:rPr>
        <w:t xml:space="preserve">.  </w:t>
      </w:r>
      <w:r w:rsidR="00EA218F" w:rsidRPr="00EA218F">
        <w:rPr>
          <w:rFonts w:ascii="Garamond" w:hAnsi="Garamond"/>
          <w:sz w:val="24"/>
          <w:szCs w:val="24"/>
        </w:rPr>
        <w:t xml:space="preserve">It may be appropriate to establish a task force or </w:t>
      </w:r>
      <w:r w:rsidR="00EA218F" w:rsidRPr="00EA218F">
        <w:rPr>
          <w:rFonts w:ascii="Garamond" w:eastAsia="Times New Roman" w:hAnsi="Garamond"/>
          <w:color w:val="000000"/>
          <w:sz w:val="24"/>
          <w:szCs w:val="24"/>
        </w:rPr>
        <w:t xml:space="preserve">open forum to have deeper discussions and evaluations of emerging tech and scientific discovery. </w:t>
      </w:r>
      <w:r w:rsidR="007D71C9">
        <w:rPr>
          <w:rFonts w:ascii="Garamond" w:eastAsia="Times New Roman" w:hAnsi="Garamond"/>
          <w:color w:val="000000"/>
          <w:sz w:val="24"/>
          <w:szCs w:val="24"/>
        </w:rPr>
        <w:t xml:space="preserve"> </w:t>
      </w:r>
      <w:r w:rsidR="00110CDF" w:rsidRPr="00EA218F">
        <w:rPr>
          <w:rFonts w:ascii="Garamond" w:hAnsi="Garamond"/>
          <w:sz w:val="24"/>
          <w:szCs w:val="24"/>
        </w:rPr>
        <w:t>The University of California might be the appropriate home for such a repository provided that utilities submit updated data to be inputted on a quarterly basis</w:t>
      </w:r>
      <w:r w:rsidR="00935470">
        <w:rPr>
          <w:rFonts w:ascii="Garamond" w:hAnsi="Garamond"/>
          <w:sz w:val="24"/>
          <w:szCs w:val="24"/>
        </w:rPr>
        <w:t xml:space="preserve">.  </w:t>
      </w:r>
      <w:r w:rsidR="003128E1" w:rsidRPr="00EA218F">
        <w:rPr>
          <w:rFonts w:ascii="Garamond" w:hAnsi="Garamond"/>
          <w:sz w:val="24"/>
          <w:szCs w:val="24"/>
        </w:rPr>
        <w:t>We rightfully acknowledge the differences</w:t>
      </w:r>
      <w:r w:rsidR="003128E1">
        <w:rPr>
          <w:rFonts w:ascii="Garamond" w:hAnsi="Garamond"/>
          <w:sz w:val="24"/>
          <w:szCs w:val="24"/>
        </w:rPr>
        <w:t xml:space="preserve"> between </w:t>
      </w:r>
      <w:r w:rsidR="00AA364C">
        <w:rPr>
          <w:rFonts w:ascii="Garamond" w:hAnsi="Garamond"/>
          <w:sz w:val="24"/>
          <w:szCs w:val="24"/>
        </w:rPr>
        <w:t>utilities but</w:t>
      </w:r>
      <w:r w:rsidR="003128E1">
        <w:rPr>
          <w:rFonts w:ascii="Garamond" w:hAnsi="Garamond"/>
          <w:sz w:val="24"/>
          <w:szCs w:val="24"/>
        </w:rPr>
        <w:t xml:space="preserve"> would suggest as much data as reasonably possible be compared and contrasted. </w:t>
      </w:r>
    </w:p>
    <w:p w14:paraId="7DF3D32F" w14:textId="57ECDDDF" w:rsidR="00A530C6" w:rsidRPr="00C115EF" w:rsidRDefault="00EF0A24" w:rsidP="00855C71">
      <w:pPr>
        <w:pStyle w:val="ListParagraph"/>
        <w:numPr>
          <w:ilvl w:val="0"/>
          <w:numId w:val="10"/>
        </w:numPr>
        <w:spacing w:after="0"/>
        <w:contextualSpacing w:val="0"/>
        <w:rPr>
          <w:rFonts w:ascii="Garamond" w:eastAsia="Times New Roman" w:hAnsi="Garamond"/>
          <w:i/>
          <w:sz w:val="24"/>
          <w:szCs w:val="24"/>
        </w:rPr>
      </w:pPr>
      <w:r w:rsidRPr="006B4E17">
        <w:rPr>
          <w:rFonts w:ascii="Garamond" w:eastAsia="Times New Roman" w:hAnsi="Garamond"/>
          <w:iCs/>
          <w:sz w:val="24"/>
          <w:szCs w:val="24"/>
        </w:rPr>
        <w:t>Finally, future</w:t>
      </w:r>
      <w:r w:rsidR="00974778" w:rsidRPr="005E4122">
        <w:rPr>
          <w:rFonts w:ascii="Garamond" w:eastAsia="Times New Roman" w:hAnsi="Garamond"/>
          <w:iCs/>
          <w:sz w:val="24"/>
          <w:szCs w:val="24"/>
        </w:rPr>
        <w:t xml:space="preserve"> WMPs should describe lessons learned as an organizing principle.  Integrating </w:t>
      </w:r>
      <w:r w:rsidR="00123357" w:rsidRPr="00855C71">
        <w:rPr>
          <w:rFonts w:ascii="Garamond" w:eastAsia="Times New Roman" w:hAnsi="Garamond"/>
          <w:iCs/>
          <w:sz w:val="24"/>
          <w:szCs w:val="24"/>
        </w:rPr>
        <w:t>best practices from lessons learned into the WMP narrative will help the utilities demonstrate their ongoing efforts to the reader.</w:t>
      </w:r>
      <w:r w:rsidR="00123357" w:rsidRPr="00C115EF">
        <w:rPr>
          <w:rFonts w:ascii="Garamond" w:eastAsia="Times New Roman" w:hAnsi="Garamond"/>
          <w:iCs/>
          <w:sz w:val="24"/>
          <w:szCs w:val="24"/>
        </w:rPr>
        <w:t xml:space="preserve"> </w:t>
      </w:r>
    </w:p>
    <w:p w14:paraId="27A5E1C9" w14:textId="021C2D07" w:rsidR="00130D91" w:rsidRDefault="00A530C6" w:rsidP="00C115EF">
      <w:pPr>
        <w:pStyle w:val="ListParagraph"/>
        <w:spacing w:after="0"/>
        <w:contextualSpacing w:val="0"/>
        <w:rPr>
          <w:rFonts w:ascii="Garamond" w:hAnsi="Garamond"/>
          <w:b/>
          <w:bCs/>
          <w:sz w:val="24"/>
          <w:szCs w:val="24"/>
        </w:rPr>
      </w:pPr>
      <w:r>
        <w:rPr>
          <w:rFonts w:ascii="Garamond" w:eastAsia="Times New Roman" w:hAnsi="Garamond"/>
          <w:i/>
          <w:sz w:val="24"/>
          <w:szCs w:val="24"/>
        </w:rPr>
        <w:br/>
      </w:r>
    </w:p>
    <w:p w14:paraId="0DF823E3" w14:textId="27ADC465" w:rsidR="00130D91" w:rsidRDefault="00130D91" w:rsidP="00C115EF">
      <w:pPr>
        <w:rPr>
          <w:rFonts w:ascii="Garamond" w:hAnsi="Garamond"/>
          <w:b/>
          <w:bCs/>
          <w:sz w:val="24"/>
          <w:szCs w:val="24"/>
        </w:rPr>
      </w:pPr>
      <w:r>
        <w:rPr>
          <w:rFonts w:ascii="Garamond" w:hAnsi="Garamond"/>
          <w:b/>
          <w:bCs/>
          <w:sz w:val="24"/>
          <w:szCs w:val="24"/>
        </w:rPr>
        <w:br w:type="page"/>
      </w:r>
    </w:p>
    <w:p w14:paraId="50542A3C" w14:textId="77777777" w:rsidR="002967E9" w:rsidRDefault="002967E9" w:rsidP="00C115EF">
      <w:pPr>
        <w:rPr>
          <w:rFonts w:ascii="Garamond" w:hAnsi="Garamond"/>
          <w:b/>
          <w:bCs/>
          <w:sz w:val="24"/>
          <w:szCs w:val="24"/>
        </w:rPr>
      </w:pPr>
    </w:p>
    <w:sdt>
      <w:sdtPr>
        <w:rPr>
          <w:rFonts w:asciiTheme="minorHAnsi" w:eastAsiaTheme="minorHAnsi" w:hAnsiTheme="minorHAnsi" w:cstheme="minorBidi"/>
          <w:sz w:val="22"/>
          <w:szCs w:val="22"/>
        </w:rPr>
        <w:id w:val="1143936777"/>
        <w:docPartObj>
          <w:docPartGallery w:val="Table of Contents"/>
          <w:docPartUnique/>
        </w:docPartObj>
      </w:sdtPr>
      <w:sdtEndPr>
        <w:rPr>
          <w:b/>
          <w:bCs/>
          <w:noProof/>
        </w:rPr>
      </w:sdtEndPr>
      <w:sdtContent>
        <w:p w14:paraId="47595625" w14:textId="66EE8CAB" w:rsidR="001E5B88" w:rsidRDefault="00924AFD" w:rsidP="00924AFD">
          <w:pPr>
            <w:pStyle w:val="TOCHeading"/>
            <w:spacing w:after="240"/>
          </w:pPr>
          <w:r>
            <w:t>Board Recommendations</w:t>
          </w:r>
        </w:p>
        <w:p w14:paraId="47360845" w14:textId="14005F32" w:rsidR="001E5B88" w:rsidRDefault="001E5B88">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6750061" w:history="1">
            <w:r w:rsidRPr="0042020C">
              <w:rPr>
                <w:rStyle w:val="Hyperlink"/>
                <w:noProof/>
              </w:rPr>
              <w:t>1. Developing and Tracking Community Engagement Activities</w:t>
            </w:r>
            <w:r>
              <w:rPr>
                <w:noProof/>
                <w:webHidden/>
              </w:rPr>
              <w:tab/>
            </w:r>
            <w:r>
              <w:rPr>
                <w:noProof/>
                <w:webHidden/>
              </w:rPr>
              <w:fldChar w:fldCharType="begin"/>
            </w:r>
            <w:r>
              <w:rPr>
                <w:noProof/>
                <w:webHidden/>
              </w:rPr>
              <w:instrText xml:space="preserve"> PAGEREF _Toc36750061 \h </w:instrText>
            </w:r>
            <w:r>
              <w:rPr>
                <w:noProof/>
                <w:webHidden/>
              </w:rPr>
            </w:r>
            <w:r>
              <w:rPr>
                <w:noProof/>
                <w:webHidden/>
              </w:rPr>
              <w:fldChar w:fldCharType="separate"/>
            </w:r>
            <w:r w:rsidR="00AD1699">
              <w:rPr>
                <w:noProof/>
                <w:webHidden/>
              </w:rPr>
              <w:t>6</w:t>
            </w:r>
            <w:r>
              <w:rPr>
                <w:noProof/>
                <w:webHidden/>
              </w:rPr>
              <w:fldChar w:fldCharType="end"/>
            </w:r>
          </w:hyperlink>
        </w:p>
        <w:p w14:paraId="7EE80C04" w14:textId="0A862E40" w:rsidR="001E5B88" w:rsidRDefault="00E20D41">
          <w:pPr>
            <w:pStyle w:val="TOC1"/>
            <w:tabs>
              <w:tab w:val="right" w:leader="dot" w:pos="9350"/>
            </w:tabs>
            <w:rPr>
              <w:rFonts w:asciiTheme="minorHAnsi" w:eastAsiaTheme="minorEastAsia" w:hAnsiTheme="minorHAnsi"/>
              <w:noProof/>
            </w:rPr>
          </w:pPr>
          <w:hyperlink w:anchor="_Toc36750062" w:history="1">
            <w:r w:rsidR="001E5B88" w:rsidRPr="0042020C">
              <w:rPr>
                <w:rStyle w:val="Hyperlink"/>
                <w:noProof/>
              </w:rPr>
              <w:t>2. Working with Local Government Liaisons in Emergency Situations</w:t>
            </w:r>
            <w:r w:rsidR="001E5B88">
              <w:rPr>
                <w:noProof/>
                <w:webHidden/>
              </w:rPr>
              <w:tab/>
            </w:r>
            <w:r w:rsidR="001E5B88">
              <w:rPr>
                <w:noProof/>
                <w:webHidden/>
              </w:rPr>
              <w:fldChar w:fldCharType="begin"/>
            </w:r>
            <w:r w:rsidR="001E5B88">
              <w:rPr>
                <w:noProof/>
                <w:webHidden/>
              </w:rPr>
              <w:instrText xml:space="preserve"> PAGEREF _Toc36750062 \h </w:instrText>
            </w:r>
            <w:r w:rsidR="001E5B88">
              <w:rPr>
                <w:noProof/>
                <w:webHidden/>
              </w:rPr>
            </w:r>
            <w:r w:rsidR="001E5B88">
              <w:rPr>
                <w:noProof/>
                <w:webHidden/>
              </w:rPr>
              <w:fldChar w:fldCharType="separate"/>
            </w:r>
            <w:r w:rsidR="00AD1699">
              <w:rPr>
                <w:noProof/>
                <w:webHidden/>
              </w:rPr>
              <w:t>8</w:t>
            </w:r>
            <w:r w:rsidR="001E5B88">
              <w:rPr>
                <w:noProof/>
                <w:webHidden/>
              </w:rPr>
              <w:fldChar w:fldCharType="end"/>
            </w:r>
          </w:hyperlink>
        </w:p>
        <w:p w14:paraId="2721E433" w14:textId="65F27839" w:rsidR="001E5B88" w:rsidRDefault="00E20D41">
          <w:pPr>
            <w:pStyle w:val="TOC1"/>
            <w:tabs>
              <w:tab w:val="right" w:leader="dot" w:pos="9350"/>
            </w:tabs>
            <w:rPr>
              <w:rFonts w:asciiTheme="minorHAnsi" w:eastAsiaTheme="minorEastAsia" w:hAnsiTheme="minorHAnsi"/>
              <w:noProof/>
            </w:rPr>
          </w:pPr>
          <w:hyperlink w:anchor="_Toc36750063" w:history="1">
            <w:r w:rsidR="001E5B88" w:rsidRPr="0042020C">
              <w:rPr>
                <w:rStyle w:val="Hyperlink"/>
                <w:noProof/>
              </w:rPr>
              <w:t>3. Sharing Developing Science and Situational Awareness Data</w:t>
            </w:r>
            <w:r w:rsidR="001E5B88">
              <w:rPr>
                <w:noProof/>
                <w:webHidden/>
              </w:rPr>
              <w:tab/>
            </w:r>
            <w:r w:rsidR="001E5B88">
              <w:rPr>
                <w:noProof/>
                <w:webHidden/>
              </w:rPr>
              <w:fldChar w:fldCharType="begin"/>
            </w:r>
            <w:r w:rsidR="001E5B88">
              <w:rPr>
                <w:noProof/>
                <w:webHidden/>
              </w:rPr>
              <w:instrText xml:space="preserve"> PAGEREF _Toc36750063 \h </w:instrText>
            </w:r>
            <w:r w:rsidR="001E5B88">
              <w:rPr>
                <w:noProof/>
                <w:webHidden/>
              </w:rPr>
            </w:r>
            <w:r w:rsidR="001E5B88">
              <w:rPr>
                <w:noProof/>
                <w:webHidden/>
              </w:rPr>
              <w:fldChar w:fldCharType="separate"/>
            </w:r>
            <w:r w:rsidR="00AD1699">
              <w:rPr>
                <w:noProof/>
                <w:webHidden/>
              </w:rPr>
              <w:t>10</w:t>
            </w:r>
            <w:r w:rsidR="001E5B88">
              <w:rPr>
                <w:noProof/>
                <w:webHidden/>
              </w:rPr>
              <w:fldChar w:fldCharType="end"/>
            </w:r>
          </w:hyperlink>
        </w:p>
        <w:p w14:paraId="5A3C3DFC" w14:textId="3940A449" w:rsidR="001E5B88" w:rsidRDefault="00E20D41">
          <w:pPr>
            <w:pStyle w:val="TOC1"/>
            <w:tabs>
              <w:tab w:val="right" w:leader="dot" w:pos="9350"/>
            </w:tabs>
            <w:rPr>
              <w:rFonts w:asciiTheme="minorHAnsi" w:eastAsiaTheme="minorEastAsia" w:hAnsiTheme="minorHAnsi"/>
              <w:noProof/>
            </w:rPr>
          </w:pPr>
          <w:hyperlink w:anchor="_Toc36750064" w:history="1">
            <w:r w:rsidR="001E5B88" w:rsidRPr="0042020C">
              <w:rPr>
                <w:rStyle w:val="Hyperlink"/>
                <w:noProof/>
              </w:rPr>
              <w:t>4. Future Proofing Utility Pilots and Aligning Pilots with Climate Goals</w:t>
            </w:r>
            <w:r w:rsidR="001E5B88">
              <w:rPr>
                <w:noProof/>
                <w:webHidden/>
              </w:rPr>
              <w:tab/>
            </w:r>
            <w:r w:rsidR="001E5B88">
              <w:rPr>
                <w:noProof/>
                <w:webHidden/>
              </w:rPr>
              <w:fldChar w:fldCharType="begin"/>
            </w:r>
            <w:r w:rsidR="001E5B88">
              <w:rPr>
                <w:noProof/>
                <w:webHidden/>
              </w:rPr>
              <w:instrText xml:space="preserve"> PAGEREF _Toc36750064 \h </w:instrText>
            </w:r>
            <w:r w:rsidR="001E5B88">
              <w:rPr>
                <w:noProof/>
                <w:webHidden/>
              </w:rPr>
            </w:r>
            <w:r w:rsidR="001E5B88">
              <w:rPr>
                <w:noProof/>
                <w:webHidden/>
              </w:rPr>
              <w:fldChar w:fldCharType="separate"/>
            </w:r>
            <w:r w:rsidR="00AD1699">
              <w:rPr>
                <w:noProof/>
                <w:webHidden/>
              </w:rPr>
              <w:t>13</w:t>
            </w:r>
            <w:r w:rsidR="001E5B88">
              <w:rPr>
                <w:noProof/>
                <w:webHidden/>
              </w:rPr>
              <w:fldChar w:fldCharType="end"/>
            </w:r>
          </w:hyperlink>
        </w:p>
        <w:p w14:paraId="5422D4FF" w14:textId="01341C42" w:rsidR="001E5B88" w:rsidRDefault="00E20D41">
          <w:pPr>
            <w:pStyle w:val="TOC1"/>
            <w:tabs>
              <w:tab w:val="right" w:leader="dot" w:pos="9350"/>
            </w:tabs>
            <w:rPr>
              <w:rFonts w:asciiTheme="minorHAnsi" w:eastAsiaTheme="minorEastAsia" w:hAnsiTheme="minorHAnsi"/>
              <w:noProof/>
            </w:rPr>
          </w:pPr>
          <w:hyperlink w:anchor="_Toc36750065" w:history="1">
            <w:r w:rsidR="001E5B88" w:rsidRPr="0042020C">
              <w:rPr>
                <w:rStyle w:val="Hyperlink"/>
                <w:noProof/>
              </w:rPr>
              <w:t>5. Fuel Management, Removal of At-Risk Species, and Scientific Review</w:t>
            </w:r>
            <w:r w:rsidR="001E5B88">
              <w:rPr>
                <w:noProof/>
                <w:webHidden/>
              </w:rPr>
              <w:tab/>
            </w:r>
            <w:r w:rsidR="001E5B88">
              <w:rPr>
                <w:noProof/>
                <w:webHidden/>
              </w:rPr>
              <w:fldChar w:fldCharType="begin"/>
            </w:r>
            <w:r w:rsidR="001E5B88">
              <w:rPr>
                <w:noProof/>
                <w:webHidden/>
              </w:rPr>
              <w:instrText xml:space="preserve"> PAGEREF _Toc36750065 \h </w:instrText>
            </w:r>
            <w:r w:rsidR="001E5B88">
              <w:rPr>
                <w:noProof/>
                <w:webHidden/>
              </w:rPr>
            </w:r>
            <w:r w:rsidR="001E5B88">
              <w:rPr>
                <w:noProof/>
                <w:webHidden/>
              </w:rPr>
              <w:fldChar w:fldCharType="separate"/>
            </w:r>
            <w:r w:rsidR="00AD1699">
              <w:rPr>
                <w:noProof/>
                <w:webHidden/>
              </w:rPr>
              <w:t>15</w:t>
            </w:r>
            <w:r w:rsidR="001E5B88">
              <w:rPr>
                <w:noProof/>
                <w:webHidden/>
              </w:rPr>
              <w:fldChar w:fldCharType="end"/>
            </w:r>
          </w:hyperlink>
        </w:p>
        <w:p w14:paraId="57521C6B" w14:textId="18B828D2" w:rsidR="001E5B88" w:rsidRDefault="00E20D41">
          <w:pPr>
            <w:pStyle w:val="TOC1"/>
            <w:tabs>
              <w:tab w:val="right" w:leader="dot" w:pos="9350"/>
            </w:tabs>
            <w:rPr>
              <w:rFonts w:asciiTheme="minorHAnsi" w:eastAsiaTheme="minorEastAsia" w:hAnsiTheme="minorHAnsi"/>
              <w:noProof/>
            </w:rPr>
          </w:pPr>
          <w:hyperlink w:anchor="_Toc36750066" w:history="1">
            <w:r w:rsidR="001E5B88" w:rsidRPr="0042020C">
              <w:rPr>
                <w:rStyle w:val="Hyperlink"/>
                <w:noProof/>
              </w:rPr>
              <w:t>6. Analyzing Near Misses</w:t>
            </w:r>
            <w:r w:rsidR="001E5B88">
              <w:rPr>
                <w:noProof/>
                <w:webHidden/>
              </w:rPr>
              <w:tab/>
            </w:r>
            <w:r w:rsidR="001E5B88">
              <w:rPr>
                <w:noProof/>
                <w:webHidden/>
              </w:rPr>
              <w:fldChar w:fldCharType="begin"/>
            </w:r>
            <w:r w:rsidR="001E5B88">
              <w:rPr>
                <w:noProof/>
                <w:webHidden/>
              </w:rPr>
              <w:instrText xml:space="preserve"> PAGEREF _Toc36750066 \h </w:instrText>
            </w:r>
            <w:r w:rsidR="001E5B88">
              <w:rPr>
                <w:noProof/>
                <w:webHidden/>
              </w:rPr>
            </w:r>
            <w:r w:rsidR="001E5B88">
              <w:rPr>
                <w:noProof/>
                <w:webHidden/>
              </w:rPr>
              <w:fldChar w:fldCharType="separate"/>
            </w:r>
            <w:r w:rsidR="00AD1699">
              <w:rPr>
                <w:noProof/>
                <w:webHidden/>
              </w:rPr>
              <w:t>19</w:t>
            </w:r>
            <w:r w:rsidR="001E5B88">
              <w:rPr>
                <w:noProof/>
                <w:webHidden/>
              </w:rPr>
              <w:fldChar w:fldCharType="end"/>
            </w:r>
          </w:hyperlink>
        </w:p>
        <w:p w14:paraId="0419104A" w14:textId="3FEACA0A" w:rsidR="001E5B88" w:rsidRDefault="00E20D41">
          <w:pPr>
            <w:pStyle w:val="TOC1"/>
            <w:tabs>
              <w:tab w:val="right" w:leader="dot" w:pos="9350"/>
            </w:tabs>
            <w:rPr>
              <w:rFonts w:asciiTheme="minorHAnsi" w:eastAsiaTheme="minorEastAsia" w:hAnsiTheme="minorHAnsi"/>
              <w:noProof/>
            </w:rPr>
          </w:pPr>
          <w:hyperlink w:anchor="_Toc36750067" w:history="1">
            <w:r w:rsidR="001E5B88" w:rsidRPr="0042020C">
              <w:rPr>
                <w:rStyle w:val="Hyperlink"/>
                <w:noProof/>
              </w:rPr>
              <w:t>7. Training Programs and Qualified Electrical Workers</w:t>
            </w:r>
            <w:r w:rsidR="001E5B88">
              <w:rPr>
                <w:noProof/>
                <w:webHidden/>
              </w:rPr>
              <w:tab/>
            </w:r>
            <w:r w:rsidR="001E5B88">
              <w:rPr>
                <w:noProof/>
                <w:webHidden/>
              </w:rPr>
              <w:fldChar w:fldCharType="begin"/>
            </w:r>
            <w:r w:rsidR="001E5B88">
              <w:rPr>
                <w:noProof/>
                <w:webHidden/>
              </w:rPr>
              <w:instrText xml:space="preserve"> PAGEREF _Toc36750067 \h </w:instrText>
            </w:r>
            <w:r w:rsidR="001E5B88">
              <w:rPr>
                <w:noProof/>
                <w:webHidden/>
              </w:rPr>
            </w:r>
            <w:r w:rsidR="001E5B88">
              <w:rPr>
                <w:noProof/>
                <w:webHidden/>
              </w:rPr>
              <w:fldChar w:fldCharType="separate"/>
            </w:r>
            <w:r w:rsidR="00AD1699">
              <w:rPr>
                <w:noProof/>
                <w:webHidden/>
              </w:rPr>
              <w:t>21</w:t>
            </w:r>
            <w:r w:rsidR="001E5B88">
              <w:rPr>
                <w:noProof/>
                <w:webHidden/>
              </w:rPr>
              <w:fldChar w:fldCharType="end"/>
            </w:r>
          </w:hyperlink>
        </w:p>
        <w:p w14:paraId="50928B13" w14:textId="4A2043FF" w:rsidR="001E5B88" w:rsidRDefault="00E20D41">
          <w:pPr>
            <w:pStyle w:val="TOC1"/>
            <w:tabs>
              <w:tab w:val="right" w:leader="dot" w:pos="9350"/>
            </w:tabs>
            <w:rPr>
              <w:rFonts w:asciiTheme="minorHAnsi" w:eastAsiaTheme="minorEastAsia" w:hAnsiTheme="minorHAnsi"/>
              <w:noProof/>
            </w:rPr>
          </w:pPr>
          <w:hyperlink w:anchor="_Toc36750068" w:history="1">
            <w:r w:rsidR="001E5B88" w:rsidRPr="0042020C">
              <w:rPr>
                <w:rStyle w:val="Hyperlink"/>
                <w:noProof/>
              </w:rPr>
              <w:t>8. Criteria to Prioritize Reducing PSPS Events for Critical Infrastructure</w:t>
            </w:r>
            <w:r w:rsidR="001E5B88">
              <w:rPr>
                <w:noProof/>
                <w:webHidden/>
              </w:rPr>
              <w:tab/>
            </w:r>
            <w:r w:rsidR="001E5B88">
              <w:rPr>
                <w:noProof/>
                <w:webHidden/>
              </w:rPr>
              <w:fldChar w:fldCharType="begin"/>
            </w:r>
            <w:r w:rsidR="001E5B88">
              <w:rPr>
                <w:noProof/>
                <w:webHidden/>
              </w:rPr>
              <w:instrText xml:space="preserve"> PAGEREF _Toc36750068 \h </w:instrText>
            </w:r>
            <w:r w:rsidR="001E5B88">
              <w:rPr>
                <w:noProof/>
                <w:webHidden/>
              </w:rPr>
            </w:r>
            <w:r w:rsidR="001E5B88">
              <w:rPr>
                <w:noProof/>
                <w:webHidden/>
              </w:rPr>
              <w:fldChar w:fldCharType="separate"/>
            </w:r>
            <w:r w:rsidR="00AD1699">
              <w:rPr>
                <w:noProof/>
                <w:webHidden/>
              </w:rPr>
              <w:t>23</w:t>
            </w:r>
            <w:r w:rsidR="001E5B88">
              <w:rPr>
                <w:noProof/>
                <w:webHidden/>
              </w:rPr>
              <w:fldChar w:fldCharType="end"/>
            </w:r>
          </w:hyperlink>
        </w:p>
        <w:p w14:paraId="20EE277A" w14:textId="112298A7" w:rsidR="001E5B88" w:rsidRDefault="00E20D41">
          <w:pPr>
            <w:pStyle w:val="TOC1"/>
            <w:tabs>
              <w:tab w:val="right" w:leader="dot" w:pos="9350"/>
            </w:tabs>
            <w:rPr>
              <w:rFonts w:asciiTheme="minorHAnsi" w:eastAsiaTheme="minorEastAsia" w:hAnsiTheme="minorHAnsi"/>
              <w:noProof/>
            </w:rPr>
          </w:pPr>
          <w:hyperlink w:anchor="_Toc36750069" w:history="1">
            <w:r w:rsidR="001E5B88" w:rsidRPr="0042020C">
              <w:rPr>
                <w:rStyle w:val="Hyperlink"/>
                <w:noProof/>
              </w:rPr>
              <w:t>9. Analyzing Fire Maps to Exclude Lines from PSPS Events</w:t>
            </w:r>
            <w:r w:rsidR="001E5B88">
              <w:rPr>
                <w:noProof/>
                <w:webHidden/>
              </w:rPr>
              <w:tab/>
            </w:r>
            <w:r w:rsidR="001E5B88">
              <w:rPr>
                <w:noProof/>
                <w:webHidden/>
              </w:rPr>
              <w:fldChar w:fldCharType="begin"/>
            </w:r>
            <w:r w:rsidR="001E5B88">
              <w:rPr>
                <w:noProof/>
                <w:webHidden/>
              </w:rPr>
              <w:instrText xml:space="preserve"> PAGEREF _Toc36750069 \h </w:instrText>
            </w:r>
            <w:r w:rsidR="001E5B88">
              <w:rPr>
                <w:noProof/>
                <w:webHidden/>
              </w:rPr>
            </w:r>
            <w:r w:rsidR="001E5B88">
              <w:rPr>
                <w:noProof/>
                <w:webHidden/>
              </w:rPr>
              <w:fldChar w:fldCharType="separate"/>
            </w:r>
            <w:r w:rsidR="00AD1699">
              <w:rPr>
                <w:noProof/>
                <w:webHidden/>
              </w:rPr>
              <w:t>26</w:t>
            </w:r>
            <w:r w:rsidR="001E5B88">
              <w:rPr>
                <w:noProof/>
                <w:webHidden/>
              </w:rPr>
              <w:fldChar w:fldCharType="end"/>
            </w:r>
          </w:hyperlink>
        </w:p>
        <w:p w14:paraId="6B6D4969" w14:textId="7995F229" w:rsidR="001E5B88" w:rsidRDefault="00E20D41">
          <w:pPr>
            <w:pStyle w:val="TOC1"/>
            <w:tabs>
              <w:tab w:val="right" w:leader="dot" w:pos="9350"/>
            </w:tabs>
            <w:rPr>
              <w:rFonts w:asciiTheme="minorHAnsi" w:eastAsiaTheme="minorEastAsia" w:hAnsiTheme="minorHAnsi"/>
              <w:noProof/>
            </w:rPr>
          </w:pPr>
          <w:hyperlink w:anchor="_Toc36750070" w:history="1">
            <w:r w:rsidR="001E5B88" w:rsidRPr="0042020C">
              <w:rPr>
                <w:rStyle w:val="Hyperlink"/>
                <w:noProof/>
              </w:rPr>
              <w:t>10. Risk Spend Efficiency and Costs of PSPS Events</w:t>
            </w:r>
            <w:r w:rsidR="001E5B88">
              <w:rPr>
                <w:noProof/>
                <w:webHidden/>
              </w:rPr>
              <w:tab/>
            </w:r>
            <w:r w:rsidR="001E5B88">
              <w:rPr>
                <w:noProof/>
                <w:webHidden/>
              </w:rPr>
              <w:fldChar w:fldCharType="begin"/>
            </w:r>
            <w:r w:rsidR="001E5B88">
              <w:rPr>
                <w:noProof/>
                <w:webHidden/>
              </w:rPr>
              <w:instrText xml:space="preserve"> PAGEREF _Toc36750070 \h </w:instrText>
            </w:r>
            <w:r w:rsidR="001E5B88">
              <w:rPr>
                <w:noProof/>
                <w:webHidden/>
              </w:rPr>
            </w:r>
            <w:r w:rsidR="001E5B88">
              <w:rPr>
                <w:noProof/>
                <w:webHidden/>
              </w:rPr>
              <w:fldChar w:fldCharType="separate"/>
            </w:r>
            <w:r w:rsidR="00AD1699">
              <w:rPr>
                <w:noProof/>
                <w:webHidden/>
              </w:rPr>
              <w:t>28</w:t>
            </w:r>
            <w:r w:rsidR="001E5B88">
              <w:rPr>
                <w:noProof/>
                <w:webHidden/>
              </w:rPr>
              <w:fldChar w:fldCharType="end"/>
            </w:r>
          </w:hyperlink>
        </w:p>
        <w:p w14:paraId="5AA63608" w14:textId="7E869F3E" w:rsidR="001E5B88" w:rsidRDefault="00E20D41">
          <w:pPr>
            <w:pStyle w:val="TOC1"/>
            <w:tabs>
              <w:tab w:val="right" w:leader="dot" w:pos="9350"/>
            </w:tabs>
            <w:rPr>
              <w:rFonts w:asciiTheme="minorHAnsi" w:eastAsiaTheme="minorEastAsia" w:hAnsiTheme="minorHAnsi"/>
              <w:noProof/>
            </w:rPr>
          </w:pPr>
          <w:hyperlink w:anchor="_Toc36750071" w:history="1">
            <w:r w:rsidR="001E5B88" w:rsidRPr="0042020C">
              <w:rPr>
                <w:rStyle w:val="Hyperlink"/>
                <w:noProof/>
              </w:rPr>
              <w:t>11. Re-Energization after PSPS Events</w:t>
            </w:r>
            <w:r w:rsidR="001E5B88">
              <w:rPr>
                <w:noProof/>
                <w:webHidden/>
              </w:rPr>
              <w:tab/>
            </w:r>
            <w:r w:rsidR="001E5B88">
              <w:rPr>
                <w:noProof/>
                <w:webHidden/>
              </w:rPr>
              <w:fldChar w:fldCharType="begin"/>
            </w:r>
            <w:r w:rsidR="001E5B88">
              <w:rPr>
                <w:noProof/>
                <w:webHidden/>
              </w:rPr>
              <w:instrText xml:space="preserve"> PAGEREF _Toc36750071 \h </w:instrText>
            </w:r>
            <w:r w:rsidR="001E5B88">
              <w:rPr>
                <w:noProof/>
                <w:webHidden/>
              </w:rPr>
            </w:r>
            <w:r w:rsidR="001E5B88">
              <w:rPr>
                <w:noProof/>
                <w:webHidden/>
              </w:rPr>
              <w:fldChar w:fldCharType="separate"/>
            </w:r>
            <w:r w:rsidR="00AD1699">
              <w:rPr>
                <w:noProof/>
                <w:webHidden/>
              </w:rPr>
              <w:t>30</w:t>
            </w:r>
            <w:r w:rsidR="001E5B88">
              <w:rPr>
                <w:noProof/>
                <w:webHidden/>
              </w:rPr>
              <w:fldChar w:fldCharType="end"/>
            </w:r>
          </w:hyperlink>
        </w:p>
        <w:p w14:paraId="494AA275" w14:textId="48513CD1" w:rsidR="001E5B88" w:rsidRDefault="001E5B88">
          <w:r>
            <w:rPr>
              <w:b/>
              <w:bCs/>
              <w:noProof/>
            </w:rPr>
            <w:fldChar w:fldCharType="end"/>
          </w:r>
        </w:p>
      </w:sdtContent>
    </w:sdt>
    <w:p w14:paraId="22C8D859" w14:textId="0E209C09" w:rsidR="00781CEA" w:rsidRDefault="00781CEA" w:rsidP="00C115EF">
      <w:pPr>
        <w:pStyle w:val="ListParagraph"/>
        <w:contextualSpacing w:val="0"/>
        <w:rPr>
          <w:rFonts w:ascii="Garamond" w:hAnsi="Garamond" w:cstheme="minorHAnsi"/>
          <w:sz w:val="24"/>
          <w:szCs w:val="24"/>
        </w:rPr>
      </w:pPr>
    </w:p>
    <w:p w14:paraId="431AF9F3" w14:textId="7CF3BD29" w:rsidR="00781CEA" w:rsidRDefault="00781CEA" w:rsidP="00C115EF">
      <w:pPr>
        <w:pStyle w:val="ListParagraph"/>
        <w:contextualSpacing w:val="0"/>
        <w:rPr>
          <w:rFonts w:ascii="Garamond" w:hAnsi="Garamond" w:cstheme="minorHAnsi"/>
          <w:sz w:val="24"/>
          <w:szCs w:val="24"/>
        </w:rPr>
      </w:pPr>
    </w:p>
    <w:p w14:paraId="4EB81D8D" w14:textId="7D0CC523" w:rsidR="00263804" w:rsidRPr="006E08E1" w:rsidRDefault="00781CEA" w:rsidP="006E08E1">
      <w:pPr>
        <w:pStyle w:val="Heading1"/>
      </w:pPr>
      <w:r w:rsidRPr="006E08E1">
        <w:br w:type="page"/>
      </w:r>
      <w:bookmarkStart w:id="0" w:name="_Toc36750061"/>
      <w:bookmarkStart w:id="1" w:name="_Toc36319410"/>
      <w:r w:rsidR="003B021D" w:rsidRPr="006E08E1">
        <w:t xml:space="preserve">1. </w:t>
      </w:r>
      <w:r w:rsidR="00B75C2C" w:rsidRPr="006E08E1">
        <w:t>Develop</w:t>
      </w:r>
      <w:r w:rsidR="0043378A" w:rsidRPr="006E08E1">
        <w:t>ing</w:t>
      </w:r>
      <w:r w:rsidR="00B75C2C" w:rsidRPr="006E08E1">
        <w:t xml:space="preserve"> and Track</w:t>
      </w:r>
      <w:r w:rsidR="0043378A" w:rsidRPr="006E08E1">
        <w:t>ing</w:t>
      </w:r>
      <w:r w:rsidR="00B75C2C" w:rsidRPr="006E08E1">
        <w:t xml:space="preserve"> Community Engagement</w:t>
      </w:r>
      <w:r w:rsidR="002A27F3" w:rsidRPr="006E08E1">
        <w:t xml:space="preserve"> </w:t>
      </w:r>
      <w:r w:rsidR="001F3FEC" w:rsidRPr="006E08E1">
        <w:t>Activities</w:t>
      </w:r>
      <w:bookmarkEnd w:id="0"/>
    </w:p>
    <w:bookmarkEnd w:id="1"/>
    <w:p w14:paraId="717D6F8A" w14:textId="1883835C" w:rsidR="00511A61" w:rsidRPr="00511A61" w:rsidRDefault="00511A61" w:rsidP="00C115EF">
      <w:pPr>
        <w:spacing w:after="0"/>
        <w:rPr>
          <w:sz w:val="8"/>
          <w:szCs w:val="8"/>
        </w:rPr>
      </w:pP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3037F3" w14:paraId="027EE04B" w14:textId="77777777" w:rsidTr="008416BD">
        <w:trPr>
          <w:trHeight w:val="436"/>
          <w:jc w:val="center"/>
        </w:trPr>
        <w:tc>
          <w:tcPr>
            <w:tcW w:w="6480" w:type="dxa"/>
            <w:gridSpan w:val="2"/>
            <w:tcBorders>
              <w:bottom w:val="single" w:sz="12" w:space="0" w:color="8496B0" w:themeColor="text2" w:themeTint="99"/>
            </w:tcBorders>
            <w:shd w:val="clear" w:color="auto" w:fill="D9E2F3" w:themeFill="accent1" w:themeFillTint="33"/>
          </w:tcPr>
          <w:p w14:paraId="4A003848" w14:textId="77777777" w:rsidR="003037F3" w:rsidRPr="007C7BDA" w:rsidRDefault="003037F3" w:rsidP="00C115EF">
            <w:pPr>
              <w:spacing w:before="60"/>
              <w:ind w:left="432"/>
              <w:rPr>
                <w:rFonts w:ascii="Garamond" w:hAnsi="Garamond"/>
              </w:rPr>
            </w:pPr>
            <w:r w:rsidRPr="007C7BDA">
              <w:rPr>
                <w:b/>
                <w:bCs/>
                <w:noProof/>
              </w:rPr>
              <w:drawing>
                <wp:anchor distT="0" distB="0" distL="114300" distR="114300" simplePos="0" relativeHeight="251658244" behindDoc="0" locked="0" layoutInCell="1" allowOverlap="0" wp14:anchorId="07FA9CF7" wp14:editId="34647737">
                  <wp:simplePos x="0" y="0"/>
                  <wp:positionH relativeFrom="leftMargin">
                    <wp:posOffset>59690</wp:posOffset>
                  </wp:positionH>
                  <wp:positionV relativeFrom="paragraph">
                    <wp:posOffset>5927</wp:posOffset>
                  </wp:positionV>
                  <wp:extent cx="246888" cy="246888"/>
                  <wp:effectExtent l="0" t="0" r="1270" b="1270"/>
                  <wp:wrapNone/>
                  <wp:docPr id="8" name="Graphic 8"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703403807"/>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1609226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1442102739"/>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913895742"/>
                <w14:checkbox>
                  <w14:checked w14:val="1"/>
                  <w14:checkedState w14:val="2612" w14:font="MS Gothic"/>
                  <w14:uncheckedState w14:val="2610" w14:font="MS Gothic"/>
                </w14:checkbox>
              </w:sdtPr>
              <w:sdtEndPr/>
              <w:sdtContent>
                <w:r w:rsidRPr="00D27CF3">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057C0956" w14:textId="3FD7D243" w:rsidR="003037F3" w:rsidRPr="007C7BDA" w:rsidRDefault="003037F3" w:rsidP="00C115EF">
            <w:pPr>
              <w:spacing w:before="60"/>
              <w:ind w:left="-15"/>
              <w:rPr>
                <w:rFonts w:ascii="Garamond" w:hAnsi="Garamond"/>
              </w:rPr>
            </w:pPr>
            <w:r>
              <w:rPr>
                <w:rFonts w:ascii="Garamond" w:hAnsi="Garamond"/>
              </w:rPr>
              <w:t xml:space="preserve">      </w:t>
            </w:r>
            <w:r w:rsidR="00076ED6">
              <w:rPr>
                <w:rFonts w:ascii="Garamond" w:hAnsi="Garamond"/>
                <w:noProof/>
              </w:rPr>
              <w:drawing>
                <wp:anchor distT="0" distB="0" distL="114300" distR="114300" simplePos="0" relativeHeight="251658269" behindDoc="0" locked="0" layoutInCell="1" allowOverlap="1" wp14:anchorId="55AA3D51" wp14:editId="7EFF1DB8">
                  <wp:simplePos x="0" y="0"/>
                  <wp:positionH relativeFrom="column">
                    <wp:posOffset>-1905</wp:posOffset>
                  </wp:positionH>
                  <wp:positionV relativeFrom="paragraph">
                    <wp:posOffset>1905</wp:posOffset>
                  </wp:positionV>
                  <wp:extent cx="295275" cy="295275"/>
                  <wp:effectExtent l="0" t="0" r="0" b="0"/>
                  <wp:wrapNone/>
                  <wp:docPr id="10" name="Graphic 10"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E506AC">
              <w:rPr>
                <w:rFonts w:ascii="Garamond" w:hAnsi="Garamond"/>
              </w:rPr>
              <w:t>1</w:t>
            </w:r>
          </w:p>
        </w:tc>
      </w:tr>
      <w:tr w:rsidR="003037F3" w14:paraId="40B523AD" w14:textId="77777777" w:rsidTr="008416BD">
        <w:trPr>
          <w:trHeight w:val="79"/>
          <w:jc w:val="center"/>
        </w:trPr>
        <w:tc>
          <w:tcPr>
            <w:tcW w:w="9630" w:type="dxa"/>
            <w:gridSpan w:val="3"/>
            <w:tcBorders>
              <w:left w:val="nil"/>
              <w:bottom w:val="single" w:sz="12" w:space="0" w:color="8496B0" w:themeColor="text2" w:themeTint="99"/>
              <w:right w:val="nil"/>
            </w:tcBorders>
          </w:tcPr>
          <w:p w14:paraId="586F4BA0" w14:textId="77777777" w:rsidR="003037F3" w:rsidRPr="00D27CF3" w:rsidRDefault="003037F3" w:rsidP="00855C71">
            <w:pPr>
              <w:rPr>
                <w:rFonts w:eastAsia="Times New Roman" w:cstheme="minorHAnsi"/>
                <w:sz w:val="8"/>
                <w:szCs w:val="8"/>
              </w:rPr>
            </w:pPr>
          </w:p>
        </w:tc>
      </w:tr>
      <w:tr w:rsidR="003037F3" w14:paraId="5F1281B8" w14:textId="77777777" w:rsidTr="008416BD">
        <w:trPr>
          <w:trHeight w:val="285"/>
          <w:jc w:val="center"/>
        </w:trPr>
        <w:tc>
          <w:tcPr>
            <w:tcW w:w="9630" w:type="dxa"/>
            <w:gridSpan w:val="3"/>
            <w:tcBorders>
              <w:bottom w:val="nil"/>
            </w:tcBorders>
            <w:shd w:val="clear" w:color="auto" w:fill="D9E2F3" w:themeFill="accent1" w:themeFillTint="33"/>
          </w:tcPr>
          <w:p w14:paraId="00267992" w14:textId="77777777" w:rsidR="003037F3" w:rsidRPr="00D27CF3" w:rsidRDefault="003037F3"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3037F3" w14:paraId="1E252CEC" w14:textId="77777777" w:rsidTr="008416BD">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64076C13" w14:textId="77777777" w:rsidR="003037F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141705231"/>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Vegetation management and inspections</w:t>
            </w:r>
          </w:p>
          <w:p w14:paraId="0BCA0346" w14:textId="77777777" w:rsidR="003037F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505638308"/>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Grid design and system hardening</w:t>
            </w:r>
          </w:p>
          <w:p w14:paraId="5FEC5D42" w14:textId="77777777" w:rsidR="003037F3" w:rsidRPr="00D27CF3" w:rsidRDefault="003037F3"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09C29C19" w14:textId="77777777" w:rsidR="003037F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651499089"/>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Resource allocation methodology incl. Risk Spend Efficiency</w:t>
            </w:r>
          </w:p>
          <w:p w14:paraId="09EB2CDF" w14:textId="77777777" w:rsidR="003037F3"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890651307"/>
                <w14:checkbox>
                  <w14:checked w14:val="1"/>
                  <w14:checkedState w14:val="2612" w14:font="MS Gothic"/>
                  <w14:uncheckedState w14:val="2610" w14:font="MS Gothic"/>
                </w14:checkbox>
              </w:sdtPr>
              <w:sdtEndPr/>
              <w:sdtContent>
                <w:r w:rsidR="003037F3" w:rsidRPr="00D27CF3">
                  <w:rPr>
                    <w:rFonts w:ascii="MS Gothic" w:eastAsia="MS Gothic" w:hAnsi="MS Gothic" w:cs="Segoe UI Symbol" w:hint="eastAsia"/>
                    <w:sz w:val="20"/>
                    <w:szCs w:val="20"/>
                  </w:rPr>
                  <w:t>☒</w:t>
                </w:r>
              </w:sdtContent>
            </w:sdt>
            <w:r w:rsidR="003037F3" w:rsidRPr="00D27CF3">
              <w:rPr>
                <w:rFonts w:ascii="Garamond" w:eastAsia="Times New Roman" w:hAnsi="Garamond"/>
                <w:sz w:val="20"/>
                <w:szCs w:val="20"/>
              </w:rPr>
              <w:t xml:space="preserve"> Communication with the community, planning, preparedness and recovery after PSPS events</w:t>
            </w:r>
          </w:p>
        </w:tc>
      </w:tr>
      <w:tr w:rsidR="003037F3" w14:paraId="11716320" w14:textId="77777777" w:rsidTr="008416BD">
        <w:trPr>
          <w:trHeight w:val="43"/>
          <w:jc w:val="center"/>
        </w:trPr>
        <w:tc>
          <w:tcPr>
            <w:tcW w:w="9630" w:type="dxa"/>
            <w:gridSpan w:val="3"/>
            <w:tcBorders>
              <w:left w:val="nil"/>
              <w:bottom w:val="single" w:sz="12" w:space="0" w:color="8496B0" w:themeColor="text2" w:themeTint="99"/>
              <w:right w:val="nil"/>
            </w:tcBorders>
          </w:tcPr>
          <w:p w14:paraId="13391F45" w14:textId="77777777" w:rsidR="003037F3" w:rsidRPr="00D27CF3" w:rsidRDefault="003037F3" w:rsidP="00855C71">
            <w:pPr>
              <w:spacing w:line="276" w:lineRule="auto"/>
              <w:rPr>
                <w:rFonts w:eastAsia="Times New Roman" w:cstheme="minorHAnsi"/>
                <w:sz w:val="8"/>
                <w:szCs w:val="8"/>
              </w:rPr>
            </w:pPr>
          </w:p>
        </w:tc>
      </w:tr>
      <w:tr w:rsidR="003037F3" w14:paraId="4EF62E85" w14:textId="77777777" w:rsidTr="008416BD">
        <w:trPr>
          <w:trHeight w:val="43"/>
          <w:jc w:val="center"/>
        </w:trPr>
        <w:tc>
          <w:tcPr>
            <w:tcW w:w="9630" w:type="dxa"/>
            <w:gridSpan w:val="3"/>
            <w:tcBorders>
              <w:bottom w:val="nil"/>
            </w:tcBorders>
            <w:shd w:val="clear" w:color="auto" w:fill="D9E2F3" w:themeFill="accent1" w:themeFillTint="33"/>
          </w:tcPr>
          <w:p w14:paraId="45F479EC" w14:textId="77777777" w:rsidR="003037F3" w:rsidRPr="007C7BDA" w:rsidRDefault="003037F3"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3037F3" w14:paraId="4A4BBFD8" w14:textId="77777777" w:rsidTr="008416BD">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556391B6" w14:textId="77777777" w:rsidR="003037F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251438236"/>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Risk assessment and mapping</w:t>
            </w:r>
          </w:p>
          <w:p w14:paraId="67D9D472" w14:textId="77777777" w:rsidR="003037F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985584314"/>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Situational awareness and forecasting</w:t>
            </w:r>
          </w:p>
          <w:p w14:paraId="2AB817BF" w14:textId="77777777" w:rsidR="003037F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330705400"/>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Grid design and system hardening</w:t>
            </w:r>
          </w:p>
          <w:p w14:paraId="7373B74D" w14:textId="77777777" w:rsidR="003037F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901649110"/>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Asset management and inspections</w:t>
            </w:r>
          </w:p>
          <w:p w14:paraId="394BF8AA" w14:textId="77777777" w:rsidR="003037F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555200714"/>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328F569E" w14:textId="77777777" w:rsidR="003037F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392241087"/>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Grid operations and protocols</w:t>
            </w:r>
          </w:p>
          <w:p w14:paraId="3FFAC277" w14:textId="77777777" w:rsidR="003037F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021862567"/>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Data governance</w:t>
            </w:r>
          </w:p>
          <w:p w14:paraId="12032B9F" w14:textId="77777777" w:rsidR="003037F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01873349"/>
                <w14:checkbox>
                  <w14:checked w14:val="0"/>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Resource allocation methodology</w:t>
            </w:r>
          </w:p>
          <w:p w14:paraId="1EAD24D1" w14:textId="77777777" w:rsidR="003037F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15734943"/>
                <w14:checkbox>
                  <w14:checked w14:val="1"/>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Emergency planning and preparedness</w:t>
            </w:r>
          </w:p>
          <w:p w14:paraId="736A2649" w14:textId="77777777" w:rsidR="003037F3" w:rsidRPr="009D23C5" w:rsidRDefault="00E20D41" w:rsidP="00C115EF">
            <w:pPr>
              <w:spacing w:before="60" w:line="276" w:lineRule="auto"/>
              <w:ind w:left="360"/>
              <w:rPr>
                <w:rFonts w:ascii="Garamond" w:hAnsi="Garamond"/>
                <w:b/>
                <w:bCs/>
                <w:sz w:val="20"/>
                <w:szCs w:val="20"/>
              </w:rPr>
            </w:pPr>
            <w:sdt>
              <w:sdtPr>
                <w:rPr>
                  <w:rFonts w:ascii="Garamond" w:eastAsia="Times New Roman" w:hAnsi="Garamond"/>
                  <w:sz w:val="20"/>
                  <w:szCs w:val="20"/>
                </w:rPr>
                <w:id w:val="662520632"/>
                <w14:checkbox>
                  <w14:checked w14:val="1"/>
                  <w14:checkedState w14:val="2612" w14:font="MS Gothic"/>
                  <w14:uncheckedState w14:val="2610" w14:font="MS Gothic"/>
                </w14:checkbox>
              </w:sdtPr>
              <w:sdtEndPr/>
              <w:sdtContent>
                <w:r w:rsidR="003037F3" w:rsidRPr="00D27CF3">
                  <w:rPr>
                    <w:rFonts w:ascii="MS Gothic" w:eastAsia="MS Gothic" w:hAnsi="MS Gothic" w:hint="eastAsia"/>
                    <w:sz w:val="20"/>
                    <w:szCs w:val="20"/>
                  </w:rPr>
                  <w:t>☒</w:t>
                </w:r>
              </w:sdtContent>
            </w:sdt>
            <w:r w:rsidR="003037F3" w:rsidRPr="00D27CF3">
              <w:rPr>
                <w:rFonts w:ascii="Garamond" w:eastAsia="Times New Roman" w:hAnsi="Garamond"/>
                <w:sz w:val="20"/>
                <w:szCs w:val="20"/>
              </w:rPr>
              <w:t xml:space="preserve">  Stakeholder cooperation and community engagement</w:t>
            </w:r>
          </w:p>
        </w:tc>
      </w:tr>
      <w:tr w:rsidR="003037F3" w14:paraId="7648D53A" w14:textId="77777777" w:rsidTr="008416BD">
        <w:trPr>
          <w:trHeight w:val="51"/>
          <w:jc w:val="center"/>
        </w:trPr>
        <w:tc>
          <w:tcPr>
            <w:tcW w:w="9630" w:type="dxa"/>
            <w:gridSpan w:val="3"/>
            <w:tcBorders>
              <w:left w:val="nil"/>
              <w:right w:val="nil"/>
            </w:tcBorders>
          </w:tcPr>
          <w:p w14:paraId="570BAF16" w14:textId="77777777" w:rsidR="003037F3" w:rsidRPr="007D218D" w:rsidRDefault="003037F3" w:rsidP="00855C71">
            <w:pPr>
              <w:rPr>
                <w:rFonts w:cstheme="minorHAnsi"/>
                <w:sz w:val="8"/>
                <w:szCs w:val="8"/>
              </w:rPr>
            </w:pPr>
          </w:p>
        </w:tc>
      </w:tr>
      <w:tr w:rsidR="003037F3" w14:paraId="378CB1C0" w14:textId="77777777" w:rsidTr="008416BD">
        <w:trPr>
          <w:trHeight w:val="489"/>
          <w:jc w:val="center"/>
        </w:trPr>
        <w:tc>
          <w:tcPr>
            <w:tcW w:w="9630" w:type="dxa"/>
            <w:gridSpan w:val="3"/>
            <w:shd w:val="clear" w:color="auto" w:fill="D9E2F3" w:themeFill="accent1" w:themeFillTint="33"/>
          </w:tcPr>
          <w:p w14:paraId="63290409" w14:textId="77777777" w:rsidR="003037F3" w:rsidRPr="00D95954" w:rsidRDefault="003037F3"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43" behindDoc="0" locked="0" layoutInCell="1" allowOverlap="1" wp14:anchorId="0D3E3766" wp14:editId="26E0034C">
                  <wp:simplePos x="0" y="0"/>
                  <wp:positionH relativeFrom="leftMargin">
                    <wp:posOffset>59690</wp:posOffset>
                  </wp:positionH>
                  <wp:positionV relativeFrom="paragraph">
                    <wp:posOffset>37677</wp:posOffset>
                  </wp:positionV>
                  <wp:extent cx="245534" cy="194627"/>
                  <wp:effectExtent l="0" t="0" r="0" b="0"/>
                  <wp:wrapNone/>
                  <wp:docPr id="9" name="Graphic 9"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12772850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35455067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777406119"/>
                <w14:checkbox>
                  <w14:checked w14:val="0"/>
                  <w14:checkedState w14:val="2612" w14:font="MS Gothic"/>
                  <w14:uncheckedState w14:val="2610" w14:font="MS Gothic"/>
                </w14:checkbox>
              </w:sdtPr>
              <w:sdtEndPr/>
              <w:sdtContent>
                <w:r w:rsidRPr="00BF7E3D">
                  <w:rPr>
                    <w:rFonts w:ascii="Segoe UI Symbol" w:hAnsi="Segoe UI Symbol" w:cs="Segoe UI Symbol"/>
                  </w:rPr>
                  <w:t>☐</w:t>
                </w:r>
              </w:sdtContent>
            </w:sdt>
            <w:r w:rsidRPr="006705ED">
              <w:rPr>
                <w:rFonts w:ascii="Garamond" w:hAnsi="Garamond"/>
              </w:rPr>
              <w:t xml:space="preserve"> Mid Term </w:t>
            </w:r>
            <w:r>
              <w:rPr>
                <w:rFonts w:ascii="Garamond" w:hAnsi="Garamond"/>
              </w:rPr>
              <w:t xml:space="preserve">    </w:t>
            </w:r>
            <w:sdt>
              <w:sdtPr>
                <w:rPr>
                  <w:rFonts w:ascii="Garamond" w:hAnsi="Garamond"/>
                </w:rPr>
                <w:id w:val="-195078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tbl>
    <w:p w14:paraId="2B8BDC7B" w14:textId="77777777" w:rsidR="003037F3" w:rsidRDefault="003037F3" w:rsidP="00855C71">
      <w:pPr>
        <w:spacing w:after="0"/>
        <w:rPr>
          <w:rFonts w:ascii="Century Gothic" w:hAnsi="Century Gothic"/>
        </w:rPr>
      </w:pPr>
    </w:p>
    <w:p w14:paraId="2F962A55" w14:textId="77777777" w:rsidR="003037F3" w:rsidRDefault="003037F3" w:rsidP="00855C71">
      <w:pPr>
        <w:rPr>
          <w:rFonts w:ascii="Century Gothic" w:hAnsi="Century Gothic"/>
        </w:rPr>
      </w:pPr>
      <w:r>
        <w:rPr>
          <w:rFonts w:ascii="Century Gothic" w:hAnsi="Century Gothic"/>
        </w:rPr>
        <w:t>Issue/Metric:</w:t>
      </w:r>
    </w:p>
    <w:p w14:paraId="2EE2DBF1" w14:textId="1CE9326B" w:rsidR="003037F3" w:rsidRPr="003B2156" w:rsidRDefault="003037F3" w:rsidP="00C115EF">
      <w:pPr>
        <w:pStyle w:val="ListParagraph"/>
        <w:numPr>
          <w:ilvl w:val="0"/>
          <w:numId w:val="12"/>
        </w:numPr>
        <w:spacing w:after="0"/>
        <w:contextualSpacing w:val="0"/>
        <w:rPr>
          <w:rFonts w:ascii="Garamond" w:hAnsi="Garamond"/>
          <w:sz w:val="24"/>
          <w:szCs w:val="24"/>
        </w:rPr>
      </w:pPr>
      <w:r>
        <w:rPr>
          <w:rFonts w:ascii="Garamond" w:hAnsi="Garamond"/>
          <w:sz w:val="24"/>
          <w:szCs w:val="24"/>
        </w:rPr>
        <w:t xml:space="preserve">Completeness </w:t>
      </w:r>
      <w:r w:rsidRPr="003B2156">
        <w:rPr>
          <w:rFonts w:ascii="Garamond" w:hAnsi="Garamond"/>
          <w:sz w:val="24"/>
          <w:szCs w:val="24"/>
        </w:rPr>
        <w:t xml:space="preserve">of </w:t>
      </w:r>
      <w:r>
        <w:rPr>
          <w:rFonts w:ascii="Garamond" w:hAnsi="Garamond"/>
          <w:sz w:val="24"/>
          <w:szCs w:val="24"/>
        </w:rPr>
        <w:t xml:space="preserve">outreach, public awareness and communications efforts regarding </w:t>
      </w:r>
      <w:r w:rsidRPr="003B2156">
        <w:rPr>
          <w:rFonts w:ascii="Garamond" w:hAnsi="Garamond"/>
          <w:sz w:val="24"/>
          <w:szCs w:val="24"/>
        </w:rPr>
        <w:t xml:space="preserve">emergency planning and preparedness </w:t>
      </w:r>
      <w:r>
        <w:rPr>
          <w:rFonts w:ascii="Garamond" w:hAnsi="Garamond"/>
          <w:sz w:val="24"/>
          <w:szCs w:val="24"/>
        </w:rPr>
        <w:t>and stakeholder cooperation and community engagement as part of the 2020 WMPs</w:t>
      </w:r>
      <w:r w:rsidR="00385273">
        <w:rPr>
          <w:rFonts w:ascii="Garamond" w:hAnsi="Garamond"/>
          <w:sz w:val="24"/>
          <w:szCs w:val="24"/>
        </w:rPr>
        <w:t>.</w:t>
      </w:r>
    </w:p>
    <w:p w14:paraId="501C76F4" w14:textId="77777777" w:rsidR="003037F3" w:rsidRDefault="003037F3" w:rsidP="00855C71">
      <w:pPr>
        <w:spacing w:after="0"/>
        <w:rPr>
          <w:rFonts w:ascii="Century Gothic" w:hAnsi="Century Gothic"/>
        </w:rPr>
      </w:pPr>
    </w:p>
    <w:p w14:paraId="6F0C56A3" w14:textId="77777777" w:rsidR="003037F3" w:rsidRDefault="003037F3" w:rsidP="00855C71">
      <w:pPr>
        <w:rPr>
          <w:rFonts w:ascii="Century Gothic" w:hAnsi="Century Gothic"/>
        </w:rPr>
      </w:pPr>
      <w:r>
        <w:rPr>
          <w:rFonts w:ascii="Century Gothic" w:hAnsi="Century Gothic"/>
        </w:rPr>
        <w:t>Current WMP Requirements:</w:t>
      </w:r>
    </w:p>
    <w:p w14:paraId="4764AFEA" w14:textId="60D7C89D" w:rsidR="003037F3" w:rsidRPr="00D27CF3" w:rsidRDefault="003037F3" w:rsidP="00C115EF">
      <w:pPr>
        <w:pStyle w:val="ListParagraph"/>
        <w:numPr>
          <w:ilvl w:val="0"/>
          <w:numId w:val="13"/>
        </w:numPr>
        <w:spacing w:after="0"/>
        <w:contextualSpacing w:val="0"/>
        <w:rPr>
          <w:rFonts w:ascii="Garamond" w:eastAsia="Times New Roman" w:hAnsi="Garamond"/>
          <w:sz w:val="24"/>
          <w:szCs w:val="24"/>
        </w:rPr>
      </w:pPr>
      <w:r w:rsidRPr="00D27CF3">
        <w:rPr>
          <w:rFonts w:ascii="Garamond" w:eastAsia="Times New Roman" w:hAnsi="Garamond"/>
          <w:sz w:val="24"/>
          <w:szCs w:val="24"/>
        </w:rPr>
        <w:t xml:space="preserve">Sections 5.3.9 and 5.3.10 of the </w:t>
      </w:r>
      <w:r w:rsidR="00BC2115" w:rsidRPr="00BC2115">
        <w:rPr>
          <w:rFonts w:ascii="Garamond" w:eastAsia="Times New Roman" w:hAnsi="Garamond"/>
          <w:sz w:val="24"/>
          <w:szCs w:val="24"/>
        </w:rPr>
        <w:t xml:space="preserve">2020 Wildfire Mitigation Plan Guidelines </w:t>
      </w:r>
      <w:r w:rsidR="00BC2115">
        <w:rPr>
          <w:rFonts w:ascii="Garamond" w:eastAsia="Times New Roman" w:hAnsi="Garamond"/>
          <w:sz w:val="24"/>
          <w:szCs w:val="24"/>
        </w:rPr>
        <w:t>(</w:t>
      </w:r>
      <w:r w:rsidRPr="00D27CF3">
        <w:rPr>
          <w:rFonts w:ascii="Garamond" w:eastAsia="Times New Roman" w:hAnsi="Garamond"/>
          <w:sz w:val="24"/>
          <w:szCs w:val="24"/>
        </w:rPr>
        <w:t>2020 WMP Guidelines</w:t>
      </w:r>
      <w:r w:rsidR="00BC2115">
        <w:rPr>
          <w:rFonts w:ascii="Garamond" w:eastAsia="Times New Roman" w:hAnsi="Garamond"/>
          <w:sz w:val="24"/>
          <w:szCs w:val="24"/>
        </w:rPr>
        <w:t>)</w:t>
      </w:r>
      <w:r w:rsidR="00BA5883">
        <w:rPr>
          <w:rStyle w:val="FootnoteReference"/>
          <w:rFonts w:ascii="Garamond" w:eastAsia="Times New Roman" w:hAnsi="Garamond"/>
          <w:sz w:val="24"/>
          <w:szCs w:val="24"/>
        </w:rPr>
        <w:footnoteReference w:id="10"/>
      </w:r>
      <w:r w:rsidRPr="00D27CF3">
        <w:rPr>
          <w:rFonts w:ascii="Garamond" w:eastAsia="Times New Roman" w:hAnsi="Garamond"/>
          <w:sz w:val="24"/>
          <w:szCs w:val="24"/>
        </w:rPr>
        <w:t xml:space="preserve"> require the utilities to provide a description of the overall emergency preparedness and response plan and description of various community and stakeholder programs including coordination with Public Safety Partners, lessons learned from wildfire events and any other initiatives.</w:t>
      </w:r>
    </w:p>
    <w:p w14:paraId="59CFF363" w14:textId="77777777" w:rsidR="006B10CE" w:rsidRPr="00D27CF3" w:rsidRDefault="006B10CE" w:rsidP="00855C71">
      <w:pPr>
        <w:spacing w:after="0"/>
        <w:rPr>
          <w:rFonts w:ascii="Garamond" w:eastAsia="Times New Roman" w:hAnsi="Garamond"/>
          <w:sz w:val="24"/>
          <w:szCs w:val="24"/>
        </w:rPr>
      </w:pPr>
    </w:p>
    <w:p w14:paraId="19DBAF30" w14:textId="5D1B3811" w:rsidR="006B10CE" w:rsidRPr="00D27CF3" w:rsidRDefault="00B80271" w:rsidP="00855C71">
      <w:pPr>
        <w:rPr>
          <w:rFonts w:ascii="Century Gothic" w:eastAsia="Times New Roman" w:hAnsi="Century Gothic"/>
        </w:rPr>
      </w:pPr>
      <w:r w:rsidRPr="00D27CF3">
        <w:rPr>
          <w:rFonts w:ascii="Century Gothic" w:eastAsia="Times New Roman" w:hAnsi="Century Gothic"/>
        </w:rPr>
        <w:t xml:space="preserve">Board </w:t>
      </w:r>
      <w:r w:rsidR="006B10CE" w:rsidRPr="00D27CF3">
        <w:rPr>
          <w:rFonts w:ascii="Century Gothic" w:eastAsia="Times New Roman" w:hAnsi="Century Gothic"/>
        </w:rPr>
        <w:t xml:space="preserve">Recommendation </w:t>
      </w:r>
    </w:p>
    <w:p w14:paraId="59407BD6" w14:textId="1BDC943D" w:rsidR="006B10CE" w:rsidRPr="00D27CF3" w:rsidRDefault="006B10CE" w:rsidP="00C115EF">
      <w:pPr>
        <w:pStyle w:val="ListParagraph"/>
        <w:numPr>
          <w:ilvl w:val="0"/>
          <w:numId w:val="25"/>
        </w:numPr>
        <w:spacing w:after="0"/>
        <w:contextualSpacing w:val="0"/>
        <w:rPr>
          <w:rFonts w:ascii="Garamond" w:eastAsia="Times New Roman" w:hAnsi="Garamond"/>
          <w:sz w:val="24"/>
          <w:szCs w:val="24"/>
        </w:rPr>
      </w:pPr>
      <w:r w:rsidRPr="00D27CF3">
        <w:rPr>
          <w:rFonts w:ascii="Garamond" w:eastAsia="Times New Roman" w:hAnsi="Garamond"/>
          <w:sz w:val="24"/>
          <w:szCs w:val="24"/>
        </w:rPr>
        <w:t xml:space="preserve">In its review, the Wildfire Safety Division should consider whether the utilities have provided adequate information to track and document their outreach efforts as part of the WMPs regarding emergency preparedness, event protocols and post-event learnings.   </w:t>
      </w:r>
    </w:p>
    <w:p w14:paraId="7CBD71DB" w14:textId="3EDBB4BA" w:rsidR="003037F3" w:rsidRDefault="003037F3" w:rsidP="00855C71">
      <w:pPr>
        <w:spacing w:after="0"/>
        <w:rPr>
          <w:rFonts w:ascii="Garamond" w:eastAsia="Times New Roman" w:hAnsi="Garamond"/>
          <w:sz w:val="24"/>
          <w:szCs w:val="24"/>
        </w:rPr>
      </w:pPr>
    </w:p>
    <w:p w14:paraId="0DB10FED" w14:textId="5CBCAE18" w:rsidR="008911CE" w:rsidRDefault="008911CE" w:rsidP="00855C71">
      <w:pPr>
        <w:spacing w:after="0"/>
        <w:rPr>
          <w:rFonts w:ascii="Garamond" w:eastAsia="Times New Roman" w:hAnsi="Garamond"/>
          <w:sz w:val="24"/>
          <w:szCs w:val="24"/>
        </w:rPr>
      </w:pPr>
    </w:p>
    <w:p w14:paraId="4D6FB4FF" w14:textId="77777777" w:rsidR="008911CE" w:rsidRPr="00D27CF3" w:rsidRDefault="008911CE" w:rsidP="00855C71">
      <w:pPr>
        <w:spacing w:after="0"/>
        <w:rPr>
          <w:rFonts w:ascii="Garamond" w:eastAsia="Times New Roman" w:hAnsi="Garamond"/>
          <w:sz w:val="24"/>
          <w:szCs w:val="24"/>
        </w:rPr>
      </w:pPr>
    </w:p>
    <w:p w14:paraId="0AC5D433" w14:textId="77777777" w:rsidR="003037F3" w:rsidRPr="00D27CF3" w:rsidRDefault="003037F3" w:rsidP="00855C71">
      <w:pPr>
        <w:rPr>
          <w:rFonts w:ascii="Century Gothic" w:eastAsia="Times New Roman" w:hAnsi="Century Gothic"/>
        </w:rPr>
      </w:pPr>
      <w:r w:rsidRPr="00D27CF3">
        <w:rPr>
          <w:rFonts w:ascii="Century Gothic" w:eastAsia="Times New Roman" w:hAnsi="Century Gothic"/>
        </w:rPr>
        <w:t>Observations:</w:t>
      </w:r>
    </w:p>
    <w:p w14:paraId="626A62E5" w14:textId="4EAA1365" w:rsidR="003037F3" w:rsidRPr="00D27CF3" w:rsidRDefault="003037F3" w:rsidP="00C115EF">
      <w:pPr>
        <w:pStyle w:val="ListParagraph"/>
        <w:numPr>
          <w:ilvl w:val="0"/>
          <w:numId w:val="13"/>
        </w:numPr>
        <w:contextualSpacing w:val="0"/>
        <w:rPr>
          <w:rFonts w:ascii="Garamond" w:eastAsia="Times New Roman" w:hAnsi="Garamond"/>
          <w:sz w:val="24"/>
          <w:szCs w:val="24"/>
        </w:rPr>
      </w:pPr>
      <w:r w:rsidRPr="00D27CF3">
        <w:rPr>
          <w:rFonts w:ascii="Garamond" w:eastAsia="Times New Roman" w:hAnsi="Garamond"/>
          <w:sz w:val="24"/>
          <w:szCs w:val="24"/>
        </w:rPr>
        <w:t xml:space="preserve">The </w:t>
      </w:r>
      <w:r w:rsidR="00D41D16" w:rsidRPr="00D27CF3">
        <w:rPr>
          <w:rFonts w:ascii="Garamond" w:eastAsia="Times New Roman" w:hAnsi="Garamond"/>
          <w:sz w:val="24"/>
          <w:szCs w:val="24"/>
        </w:rPr>
        <w:t>CPUC</w:t>
      </w:r>
      <w:r w:rsidRPr="00D27CF3">
        <w:rPr>
          <w:rFonts w:ascii="Garamond" w:eastAsia="Times New Roman" w:hAnsi="Garamond"/>
          <w:sz w:val="24"/>
          <w:szCs w:val="24"/>
        </w:rPr>
        <w:t xml:space="preserve"> is comprehensively examining the utilities’ actions before and after PSPS events to engage with local and tribal governments, the A</w:t>
      </w:r>
      <w:r w:rsidR="00E07CB8">
        <w:rPr>
          <w:rFonts w:ascii="Garamond" w:eastAsia="Times New Roman" w:hAnsi="Garamond"/>
          <w:sz w:val="24"/>
          <w:szCs w:val="24"/>
        </w:rPr>
        <w:t xml:space="preserve">ccess and </w:t>
      </w:r>
      <w:r w:rsidRPr="00D27CF3">
        <w:rPr>
          <w:rFonts w:ascii="Garamond" w:eastAsia="Times New Roman" w:hAnsi="Garamond"/>
          <w:sz w:val="24"/>
          <w:szCs w:val="24"/>
        </w:rPr>
        <w:t>F</w:t>
      </w:r>
      <w:r w:rsidR="00E07CB8">
        <w:rPr>
          <w:rFonts w:ascii="Garamond" w:eastAsia="Times New Roman" w:hAnsi="Garamond"/>
          <w:sz w:val="24"/>
          <w:szCs w:val="24"/>
        </w:rPr>
        <w:t xml:space="preserve">unctional </w:t>
      </w:r>
      <w:r w:rsidRPr="00D27CF3">
        <w:rPr>
          <w:rFonts w:ascii="Garamond" w:eastAsia="Times New Roman" w:hAnsi="Garamond"/>
          <w:sz w:val="24"/>
          <w:szCs w:val="24"/>
        </w:rPr>
        <w:t>N</w:t>
      </w:r>
      <w:r w:rsidR="00E07CB8">
        <w:rPr>
          <w:rFonts w:ascii="Garamond" w:eastAsia="Times New Roman" w:hAnsi="Garamond"/>
          <w:sz w:val="24"/>
          <w:szCs w:val="24"/>
        </w:rPr>
        <w:t>eeds (AFN)</w:t>
      </w:r>
      <w:r w:rsidRPr="00D27CF3">
        <w:rPr>
          <w:rFonts w:ascii="Garamond" w:eastAsia="Times New Roman" w:hAnsi="Garamond"/>
          <w:sz w:val="24"/>
          <w:szCs w:val="24"/>
        </w:rPr>
        <w:t xml:space="preserve"> population, public safety officials and other key stakeholders to achieve meaningful protocols that minimize the impacts on communities and maximize public involvement.  These relevant proceedings are addressing this issue:  ESRB-8; R. 18-12-005; I.19-11-013.</w:t>
      </w:r>
      <w:r w:rsidR="001D5ACB">
        <w:rPr>
          <w:rStyle w:val="FootnoteReference"/>
          <w:rFonts w:ascii="Garamond" w:eastAsia="Times New Roman" w:hAnsi="Garamond"/>
          <w:sz w:val="24"/>
          <w:szCs w:val="24"/>
        </w:rPr>
        <w:footnoteReference w:id="11"/>
      </w:r>
      <w:r w:rsidRPr="00D27CF3">
        <w:rPr>
          <w:rFonts w:ascii="Garamond" w:eastAsia="Times New Roman" w:hAnsi="Garamond"/>
          <w:sz w:val="24"/>
          <w:szCs w:val="24"/>
        </w:rPr>
        <w:t xml:space="preserve">  Each sets forth specific program requirements and seeks feedback on the effectiveness of the utility efforts.</w:t>
      </w:r>
    </w:p>
    <w:p w14:paraId="6C509499" w14:textId="2D8BA2D9" w:rsidR="0080505C" w:rsidRPr="00D27CF3" w:rsidRDefault="003037F3" w:rsidP="00C115EF">
      <w:pPr>
        <w:pStyle w:val="ListParagraph"/>
        <w:numPr>
          <w:ilvl w:val="0"/>
          <w:numId w:val="13"/>
        </w:numPr>
        <w:spacing w:after="0"/>
        <w:contextualSpacing w:val="0"/>
        <w:rPr>
          <w:rFonts w:ascii="Garamond" w:eastAsia="Times New Roman" w:hAnsi="Garamond"/>
          <w:sz w:val="24"/>
          <w:szCs w:val="24"/>
        </w:rPr>
      </w:pPr>
      <w:r w:rsidRPr="00D27CF3">
        <w:rPr>
          <w:rFonts w:ascii="Garamond" w:eastAsia="Times New Roman" w:hAnsi="Garamond"/>
          <w:sz w:val="24"/>
          <w:szCs w:val="24"/>
        </w:rPr>
        <w:t xml:space="preserve">In the 2020 WMPs, the utilities have provided varying levels of information </w:t>
      </w:r>
      <w:r w:rsidR="00263804" w:rsidRPr="00D27CF3">
        <w:rPr>
          <w:rFonts w:ascii="Garamond" w:eastAsia="Times New Roman" w:hAnsi="Garamond"/>
          <w:sz w:val="24"/>
          <w:szCs w:val="24"/>
        </w:rPr>
        <w:t xml:space="preserve">about </w:t>
      </w:r>
      <w:r w:rsidRPr="00D27CF3">
        <w:rPr>
          <w:rFonts w:ascii="Garamond" w:eastAsia="Times New Roman" w:hAnsi="Garamond"/>
          <w:sz w:val="24"/>
          <w:szCs w:val="24"/>
        </w:rPr>
        <w:t>their approaches.  Each utility indicates that it has developed a plan (or intends to) and is executing.</w:t>
      </w:r>
      <w:r w:rsidRPr="00D27CF3">
        <w:rPr>
          <w:rStyle w:val="FootnoteReference"/>
          <w:rFonts w:ascii="Garamond" w:eastAsia="Times New Roman" w:hAnsi="Garamond"/>
          <w:sz w:val="24"/>
          <w:szCs w:val="24"/>
        </w:rPr>
        <w:footnoteReference w:id="12"/>
      </w:r>
      <w:r w:rsidRPr="00D27CF3">
        <w:rPr>
          <w:rFonts w:ascii="Garamond" w:eastAsia="Times New Roman" w:hAnsi="Garamond"/>
          <w:sz w:val="24"/>
          <w:szCs w:val="24"/>
        </w:rPr>
        <w:t xml:space="preserve">  </w:t>
      </w:r>
    </w:p>
    <w:p w14:paraId="17FD7541" w14:textId="77777777" w:rsidR="00997EAC" w:rsidRPr="00D27CF3" w:rsidRDefault="00997EAC" w:rsidP="00855C71">
      <w:pPr>
        <w:spacing w:after="0"/>
        <w:rPr>
          <w:rFonts w:ascii="Garamond" w:eastAsia="Times New Roman" w:hAnsi="Garamond"/>
          <w:sz w:val="24"/>
          <w:szCs w:val="24"/>
        </w:rPr>
      </w:pPr>
    </w:p>
    <w:p w14:paraId="6A61A246" w14:textId="77777777" w:rsidR="003037F3" w:rsidRPr="00D27CF3" w:rsidRDefault="003037F3" w:rsidP="00855C71">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06F0E28F" w14:textId="7F35C5D5" w:rsidR="003037F3" w:rsidRPr="00D27CF3" w:rsidDel="006B10CE" w:rsidRDefault="00BA5883" w:rsidP="00C115EF">
      <w:pPr>
        <w:numPr>
          <w:ilvl w:val="0"/>
          <w:numId w:val="14"/>
        </w:numPr>
        <w:spacing w:after="0"/>
        <w:rPr>
          <w:rFonts w:ascii="Century Gothic" w:eastAsia="Times New Roman" w:hAnsi="Century Gothic"/>
        </w:rPr>
      </w:pPr>
      <w:r>
        <w:rPr>
          <w:rFonts w:ascii="Garamond" w:eastAsia="Times New Roman" w:hAnsi="Garamond"/>
          <w:sz w:val="24"/>
          <w:szCs w:val="24"/>
        </w:rPr>
        <w:t>The utility</w:t>
      </w:r>
      <w:r w:rsidRPr="00D27CF3">
        <w:rPr>
          <w:rFonts w:ascii="Garamond" w:eastAsia="Times New Roman" w:hAnsi="Garamond"/>
          <w:sz w:val="24"/>
          <w:szCs w:val="24"/>
        </w:rPr>
        <w:t xml:space="preserve"> </w:t>
      </w:r>
      <w:r w:rsidR="003037F3" w:rsidRPr="00D27CF3">
        <w:rPr>
          <w:rFonts w:ascii="Garamond" w:eastAsia="Times New Roman" w:hAnsi="Garamond"/>
          <w:sz w:val="24"/>
          <w:szCs w:val="24"/>
        </w:rPr>
        <w:t xml:space="preserve">WMP </w:t>
      </w:r>
      <w:r w:rsidR="00941635" w:rsidRPr="00D27CF3">
        <w:rPr>
          <w:rFonts w:ascii="Garamond" w:eastAsia="Times New Roman" w:hAnsi="Garamond"/>
          <w:sz w:val="24"/>
          <w:szCs w:val="24"/>
        </w:rPr>
        <w:t>do</w:t>
      </w:r>
      <w:r w:rsidR="00835732" w:rsidRPr="00D27CF3">
        <w:rPr>
          <w:rFonts w:ascii="Garamond" w:eastAsia="Times New Roman" w:hAnsi="Garamond"/>
          <w:sz w:val="24"/>
          <w:szCs w:val="24"/>
        </w:rPr>
        <w:t xml:space="preserve">cuments </w:t>
      </w:r>
      <w:r w:rsidR="00E07CB8">
        <w:rPr>
          <w:rFonts w:ascii="Garamond" w:eastAsia="Times New Roman" w:hAnsi="Garamond"/>
          <w:sz w:val="24"/>
          <w:szCs w:val="24"/>
        </w:rPr>
        <w:t xml:space="preserve">should </w:t>
      </w:r>
      <w:r w:rsidR="003037F3" w:rsidRPr="00D27CF3">
        <w:rPr>
          <w:rFonts w:ascii="Garamond" w:eastAsia="Times New Roman" w:hAnsi="Garamond"/>
          <w:sz w:val="24"/>
          <w:szCs w:val="24"/>
        </w:rPr>
        <w:t>provide a</w:t>
      </w:r>
      <w:r>
        <w:rPr>
          <w:rFonts w:ascii="Garamond" w:eastAsia="Times New Roman" w:hAnsi="Garamond"/>
          <w:sz w:val="24"/>
          <w:szCs w:val="24"/>
        </w:rPr>
        <w:t>n</w:t>
      </w:r>
      <w:r w:rsidR="003037F3" w:rsidRPr="00D27CF3">
        <w:rPr>
          <w:rFonts w:ascii="Garamond" w:eastAsia="Times New Roman" w:hAnsi="Garamond"/>
          <w:sz w:val="24"/>
          <w:szCs w:val="24"/>
        </w:rPr>
        <w:t xml:space="preserve"> overview </w:t>
      </w:r>
      <w:r w:rsidRPr="00D27CF3">
        <w:rPr>
          <w:rFonts w:ascii="Garamond" w:eastAsia="Times New Roman" w:hAnsi="Garamond"/>
          <w:sz w:val="24"/>
          <w:szCs w:val="24"/>
        </w:rPr>
        <w:t xml:space="preserve">sufficient </w:t>
      </w:r>
      <w:r w:rsidR="003037F3" w:rsidRPr="00D27CF3">
        <w:rPr>
          <w:rFonts w:ascii="Garamond" w:eastAsia="Times New Roman" w:hAnsi="Garamond"/>
          <w:sz w:val="24"/>
          <w:szCs w:val="24"/>
        </w:rPr>
        <w:t xml:space="preserve">to understand the outreach efforts that are being formulated and implemented in other relevant </w:t>
      </w:r>
      <w:r w:rsidR="00D41D16" w:rsidRPr="00D27CF3">
        <w:rPr>
          <w:rFonts w:ascii="Garamond" w:eastAsia="Times New Roman" w:hAnsi="Garamond"/>
          <w:sz w:val="24"/>
          <w:szCs w:val="24"/>
        </w:rPr>
        <w:t>CPUC</w:t>
      </w:r>
      <w:r w:rsidR="003037F3" w:rsidRPr="00D27CF3">
        <w:rPr>
          <w:rFonts w:ascii="Garamond" w:eastAsia="Times New Roman" w:hAnsi="Garamond"/>
          <w:sz w:val="24"/>
          <w:szCs w:val="24"/>
        </w:rPr>
        <w:t xml:space="preserve"> proceedings as they relate to the goals of the WMPs. </w:t>
      </w:r>
      <w:r w:rsidR="004633C5">
        <w:rPr>
          <w:rFonts w:ascii="Century Gothic" w:eastAsia="Times New Roman" w:hAnsi="Century Gothic"/>
        </w:rPr>
        <w:t xml:space="preserve"> </w:t>
      </w:r>
      <w:r w:rsidR="003037F3" w:rsidRPr="00D27CF3" w:rsidDel="006B10CE">
        <w:rPr>
          <w:rFonts w:ascii="Century Gothic" w:eastAsia="Times New Roman" w:hAnsi="Century Gothic"/>
        </w:rPr>
        <w:t xml:space="preserve"> </w:t>
      </w:r>
    </w:p>
    <w:p w14:paraId="6D4B0E73" w14:textId="77777777" w:rsidR="003037F3" w:rsidRPr="006F10CC" w:rsidRDefault="003037F3" w:rsidP="00855C71">
      <w:pPr>
        <w:spacing w:after="0"/>
        <w:rPr>
          <w:rFonts w:ascii="Garamond" w:eastAsia="Times New Roman" w:hAnsi="Garamond"/>
          <w:sz w:val="24"/>
          <w:szCs w:val="24"/>
        </w:rPr>
      </w:pPr>
    </w:p>
    <w:p w14:paraId="737654E6" w14:textId="11E21A48" w:rsidR="003037F3" w:rsidRPr="00D27CF3" w:rsidRDefault="003037F3" w:rsidP="00855C71">
      <w:pPr>
        <w:rPr>
          <w:rFonts w:ascii="Century Gothic" w:eastAsia="Times New Roman" w:hAnsi="Century Gothic"/>
        </w:rPr>
      </w:pPr>
    </w:p>
    <w:p w14:paraId="2A16EAFD" w14:textId="4C41B38B" w:rsidR="00F90663" w:rsidRPr="00D27CF3" w:rsidRDefault="00F90663" w:rsidP="00C115EF">
      <w:pPr>
        <w:rPr>
          <w:rFonts w:ascii="Century Gothic" w:eastAsia="Times New Roman" w:hAnsi="Century Gothic"/>
        </w:rPr>
      </w:pPr>
    </w:p>
    <w:p w14:paraId="0F91A7DA" w14:textId="3FC82A47" w:rsidR="0088039D" w:rsidRPr="00D27CF3" w:rsidRDefault="0051789F" w:rsidP="00C115EF">
      <w:pPr>
        <w:rPr>
          <w:rFonts w:ascii="Century Gothic" w:eastAsia="Times New Roman" w:hAnsi="Century Gothic"/>
        </w:rPr>
      </w:pPr>
      <w:r w:rsidRPr="00D27CF3">
        <w:rPr>
          <w:rFonts w:ascii="Century Gothic" w:eastAsia="Times New Roman" w:hAnsi="Century Gothic"/>
        </w:rPr>
        <w:br w:type="page"/>
      </w:r>
    </w:p>
    <w:p w14:paraId="4C5B6EB1" w14:textId="042E0BA8" w:rsidR="00997EAC" w:rsidRPr="00C115EF" w:rsidRDefault="00BC5179" w:rsidP="00C115EF">
      <w:pPr>
        <w:pStyle w:val="Heading1"/>
      </w:pPr>
      <w:bookmarkStart w:id="2" w:name="_Toc36750062"/>
      <w:bookmarkStart w:id="3" w:name="_Toc36319411"/>
      <w:r w:rsidRPr="006B4E17">
        <w:t xml:space="preserve">2. </w:t>
      </w:r>
      <w:r w:rsidR="00D30955" w:rsidRPr="00143E01">
        <w:t>Work</w:t>
      </w:r>
      <w:r w:rsidR="001F3FEC" w:rsidRPr="00143E01">
        <w:t>ing</w:t>
      </w:r>
      <w:r w:rsidR="00D30955" w:rsidRPr="00855C71">
        <w:t xml:space="preserve"> with </w:t>
      </w:r>
      <w:r w:rsidR="00B75C2C" w:rsidRPr="00855C71">
        <w:t>L</w:t>
      </w:r>
      <w:r w:rsidR="00D30955" w:rsidRPr="00855C71">
        <w:t xml:space="preserve">ocal </w:t>
      </w:r>
      <w:r w:rsidR="00B75C2C" w:rsidRPr="00855C71">
        <w:t>G</w:t>
      </w:r>
      <w:r w:rsidR="00D30955" w:rsidRPr="00076ED6">
        <w:t>overnment</w:t>
      </w:r>
      <w:r w:rsidR="00B75C2C" w:rsidRPr="00076ED6">
        <w:t xml:space="preserve"> Liaisons</w:t>
      </w:r>
      <w:r w:rsidR="00D30955" w:rsidRPr="00076ED6">
        <w:t xml:space="preserve"> </w:t>
      </w:r>
      <w:r w:rsidR="00B75C2C" w:rsidRPr="00C115EF">
        <w:t>in Emergency Situations</w:t>
      </w:r>
      <w:bookmarkEnd w:id="2"/>
      <w:r w:rsidR="00B75C2C" w:rsidRPr="00C115EF">
        <w:t xml:space="preserve"> </w:t>
      </w:r>
      <w:r w:rsidRPr="00C115EF">
        <w:t xml:space="preserve"> </w:t>
      </w:r>
    </w:p>
    <w:p w14:paraId="615CBFD1" w14:textId="6697105B" w:rsidR="00BC5179" w:rsidRPr="004B215D" w:rsidRDefault="00BC5179" w:rsidP="00C115EF">
      <w:pPr>
        <w:spacing w:after="0"/>
        <w:rPr>
          <w:rFonts w:eastAsia="Times New Roman" w:cstheme="minorHAnsi"/>
          <w:sz w:val="8"/>
          <w:szCs w:val="8"/>
        </w:rPr>
      </w:pPr>
      <w:r w:rsidRPr="004B215D">
        <w:rPr>
          <w:rFonts w:cstheme="minorHAnsi"/>
          <w:sz w:val="8"/>
          <w:szCs w:val="8"/>
        </w:rPr>
        <w:t xml:space="preserve"> </w:t>
      </w: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887EEC" w:rsidRPr="007C7BDA" w14:paraId="37A830AA" w14:textId="77777777" w:rsidTr="008416BD">
        <w:trPr>
          <w:trHeight w:val="436"/>
          <w:jc w:val="center"/>
        </w:trPr>
        <w:tc>
          <w:tcPr>
            <w:tcW w:w="6480" w:type="dxa"/>
            <w:gridSpan w:val="2"/>
            <w:tcBorders>
              <w:bottom w:val="single" w:sz="12" w:space="0" w:color="8496B0" w:themeColor="text2" w:themeTint="99"/>
            </w:tcBorders>
            <w:shd w:val="clear" w:color="auto" w:fill="D9E2F3" w:themeFill="accent1" w:themeFillTint="33"/>
          </w:tcPr>
          <w:p w14:paraId="00356D15" w14:textId="77777777" w:rsidR="00887EEC" w:rsidRPr="007C7BDA" w:rsidRDefault="00887EEC" w:rsidP="00C115EF">
            <w:pPr>
              <w:spacing w:before="60"/>
              <w:ind w:left="432"/>
              <w:rPr>
                <w:rFonts w:ascii="Garamond" w:hAnsi="Garamond"/>
              </w:rPr>
            </w:pPr>
            <w:bookmarkStart w:id="4" w:name="_Hlk34673538"/>
            <w:bookmarkEnd w:id="3"/>
            <w:r w:rsidRPr="007C7BDA">
              <w:rPr>
                <w:b/>
                <w:bCs/>
                <w:noProof/>
              </w:rPr>
              <w:drawing>
                <wp:anchor distT="0" distB="0" distL="114300" distR="114300" simplePos="0" relativeHeight="251658241" behindDoc="0" locked="0" layoutInCell="1" allowOverlap="0" wp14:anchorId="16E1F58F" wp14:editId="7596354E">
                  <wp:simplePos x="0" y="0"/>
                  <wp:positionH relativeFrom="leftMargin">
                    <wp:posOffset>59690</wp:posOffset>
                  </wp:positionH>
                  <wp:positionV relativeFrom="paragraph">
                    <wp:posOffset>5927</wp:posOffset>
                  </wp:positionV>
                  <wp:extent cx="246888" cy="246888"/>
                  <wp:effectExtent l="0" t="0" r="1270" b="1270"/>
                  <wp:wrapNone/>
                  <wp:docPr id="1" name="Graphic 1"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399828559"/>
                <w14:checkbox>
                  <w14:checked w14:val="1"/>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263157444"/>
                <w14:checkbox>
                  <w14:checked w14:val="0"/>
                  <w14:checkedState w14:val="2612" w14:font="MS Gothic"/>
                  <w14:uncheckedState w14:val="2610" w14:font="MS Gothic"/>
                </w14:checkbox>
              </w:sdtPr>
              <w:sdtEndPr/>
              <w:sdtContent>
                <w:r w:rsidRPr="007C7BDA">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339052064"/>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968352547"/>
                <w14:checkbox>
                  <w14:checked w14:val="1"/>
                  <w14:checkedState w14:val="2612" w14:font="MS Gothic"/>
                  <w14:uncheckedState w14:val="2610" w14:font="MS Gothic"/>
                </w14:checkbox>
              </w:sdtPr>
              <w:sdtEndPr/>
              <w:sdtContent>
                <w:r w:rsidRPr="00D27CF3">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1CA66CCA" w14:textId="3E9F487A" w:rsidR="00887EEC" w:rsidRPr="007C7BDA" w:rsidRDefault="00887EEC" w:rsidP="00C115EF">
            <w:pPr>
              <w:spacing w:before="60"/>
              <w:ind w:left="-15"/>
              <w:rPr>
                <w:rFonts w:ascii="Garamond" w:hAnsi="Garamond"/>
              </w:rPr>
            </w:pPr>
            <w:r>
              <w:rPr>
                <w:rFonts w:ascii="Garamond" w:hAnsi="Garamond"/>
                <w:noProof/>
              </w:rPr>
              <w:drawing>
                <wp:anchor distT="0" distB="0" distL="114300" distR="114300" simplePos="0" relativeHeight="251658242" behindDoc="0" locked="0" layoutInCell="1" allowOverlap="1" wp14:anchorId="1E87E0AF" wp14:editId="5DC34A0D">
                  <wp:simplePos x="0" y="0"/>
                  <wp:positionH relativeFrom="column">
                    <wp:posOffset>-28575</wp:posOffset>
                  </wp:positionH>
                  <wp:positionV relativeFrom="paragraph">
                    <wp:posOffset>-20320</wp:posOffset>
                  </wp:positionV>
                  <wp:extent cx="295275" cy="295275"/>
                  <wp:effectExtent l="0" t="0" r="0" b="0"/>
                  <wp:wrapNone/>
                  <wp:docPr id="2" name="Graphic 2"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E506AC">
              <w:rPr>
                <w:rFonts w:ascii="Garamond" w:hAnsi="Garamond"/>
              </w:rPr>
              <w:t>2</w:t>
            </w:r>
          </w:p>
        </w:tc>
      </w:tr>
      <w:tr w:rsidR="00887EEC" w14:paraId="56D136E6" w14:textId="77777777" w:rsidTr="008416BD">
        <w:trPr>
          <w:trHeight w:val="79"/>
          <w:jc w:val="center"/>
        </w:trPr>
        <w:tc>
          <w:tcPr>
            <w:tcW w:w="9630" w:type="dxa"/>
            <w:gridSpan w:val="3"/>
            <w:tcBorders>
              <w:left w:val="nil"/>
              <w:bottom w:val="single" w:sz="12" w:space="0" w:color="8496B0" w:themeColor="text2" w:themeTint="99"/>
              <w:right w:val="nil"/>
            </w:tcBorders>
          </w:tcPr>
          <w:p w14:paraId="4A5FC339" w14:textId="77777777" w:rsidR="00887EEC" w:rsidRPr="00D27CF3" w:rsidRDefault="00887EEC" w:rsidP="00855C71">
            <w:pPr>
              <w:rPr>
                <w:rFonts w:eastAsia="Times New Roman" w:cstheme="minorHAnsi"/>
                <w:sz w:val="8"/>
                <w:szCs w:val="8"/>
              </w:rPr>
            </w:pPr>
          </w:p>
        </w:tc>
      </w:tr>
      <w:tr w:rsidR="00887EEC" w14:paraId="6D790492" w14:textId="77777777" w:rsidTr="008416BD">
        <w:trPr>
          <w:trHeight w:val="285"/>
          <w:jc w:val="center"/>
        </w:trPr>
        <w:tc>
          <w:tcPr>
            <w:tcW w:w="9630" w:type="dxa"/>
            <w:gridSpan w:val="3"/>
            <w:tcBorders>
              <w:bottom w:val="nil"/>
            </w:tcBorders>
            <w:shd w:val="clear" w:color="auto" w:fill="D9E2F3" w:themeFill="accent1" w:themeFillTint="33"/>
          </w:tcPr>
          <w:p w14:paraId="3334038D" w14:textId="77777777" w:rsidR="00887EEC" w:rsidRPr="00D27CF3" w:rsidRDefault="00887EEC"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887EEC" w14:paraId="3CDA3287" w14:textId="77777777" w:rsidTr="008416BD">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56B158C3" w14:textId="77777777" w:rsidR="00887EEC"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1963112"/>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Vegetation management and inspections</w:t>
            </w:r>
          </w:p>
          <w:p w14:paraId="6CA71744" w14:textId="77777777" w:rsidR="00887EEC"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669942771"/>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Grid design and system hardening</w:t>
            </w:r>
          </w:p>
          <w:p w14:paraId="61347128" w14:textId="77777777" w:rsidR="00887EEC" w:rsidRPr="00D27CF3" w:rsidRDefault="00887EEC"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33E5E346" w14:textId="77777777" w:rsidR="00887EEC"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85253781"/>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Resource allocation methodology incl. Risk Spend Efficiency</w:t>
            </w:r>
          </w:p>
          <w:p w14:paraId="154CC2CF" w14:textId="77777777" w:rsidR="00887EEC"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108597021"/>
                <w14:checkbox>
                  <w14:checked w14:val="1"/>
                  <w14:checkedState w14:val="2612" w14:font="MS Gothic"/>
                  <w14:uncheckedState w14:val="2610" w14:font="MS Gothic"/>
                </w14:checkbox>
              </w:sdtPr>
              <w:sdtEndPr/>
              <w:sdtContent>
                <w:r w:rsidR="00887EEC" w:rsidRPr="00D27CF3">
                  <w:rPr>
                    <w:rFonts w:ascii="MS Gothic" w:eastAsia="MS Gothic" w:hAnsi="MS Gothic" w:cs="Segoe UI Symbol" w:hint="eastAsia"/>
                    <w:sz w:val="20"/>
                    <w:szCs w:val="20"/>
                  </w:rPr>
                  <w:t>☒</w:t>
                </w:r>
              </w:sdtContent>
            </w:sdt>
            <w:r w:rsidR="00887EEC" w:rsidRPr="00D27CF3">
              <w:rPr>
                <w:rFonts w:ascii="Garamond" w:eastAsia="Times New Roman" w:hAnsi="Garamond"/>
                <w:sz w:val="20"/>
                <w:szCs w:val="20"/>
              </w:rPr>
              <w:t xml:space="preserve"> Communication with the community, planning, preparedness and recovery after PSPS events</w:t>
            </w:r>
          </w:p>
        </w:tc>
      </w:tr>
      <w:tr w:rsidR="00887EEC" w14:paraId="08163BEE" w14:textId="77777777" w:rsidTr="008416BD">
        <w:trPr>
          <w:trHeight w:val="43"/>
          <w:jc w:val="center"/>
        </w:trPr>
        <w:tc>
          <w:tcPr>
            <w:tcW w:w="9630" w:type="dxa"/>
            <w:gridSpan w:val="3"/>
            <w:tcBorders>
              <w:left w:val="nil"/>
              <w:bottom w:val="single" w:sz="12" w:space="0" w:color="8496B0" w:themeColor="text2" w:themeTint="99"/>
              <w:right w:val="nil"/>
            </w:tcBorders>
          </w:tcPr>
          <w:p w14:paraId="19D128C8" w14:textId="77777777" w:rsidR="00887EEC" w:rsidRPr="00D27CF3" w:rsidRDefault="00887EEC" w:rsidP="00855C71">
            <w:pPr>
              <w:spacing w:line="276" w:lineRule="auto"/>
              <w:rPr>
                <w:rFonts w:eastAsia="Times New Roman" w:cstheme="minorHAnsi"/>
                <w:sz w:val="8"/>
                <w:szCs w:val="8"/>
              </w:rPr>
            </w:pPr>
          </w:p>
        </w:tc>
      </w:tr>
      <w:tr w:rsidR="00887EEC" w14:paraId="6FB99A32" w14:textId="77777777" w:rsidTr="008416BD">
        <w:trPr>
          <w:trHeight w:val="43"/>
          <w:jc w:val="center"/>
        </w:trPr>
        <w:tc>
          <w:tcPr>
            <w:tcW w:w="9630" w:type="dxa"/>
            <w:gridSpan w:val="3"/>
            <w:tcBorders>
              <w:bottom w:val="nil"/>
            </w:tcBorders>
            <w:shd w:val="clear" w:color="auto" w:fill="D9E2F3" w:themeFill="accent1" w:themeFillTint="33"/>
          </w:tcPr>
          <w:p w14:paraId="5805C093" w14:textId="77777777" w:rsidR="00887EEC" w:rsidRPr="007C7BDA" w:rsidRDefault="00887EEC"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887EEC" w14:paraId="09F37F91" w14:textId="77777777" w:rsidTr="008416BD">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3E5D655A" w14:textId="77777777" w:rsidR="00887EEC"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811482575"/>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Risk assessment and mapping</w:t>
            </w:r>
          </w:p>
          <w:p w14:paraId="20060AD5" w14:textId="77777777" w:rsidR="00887EEC"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763681641"/>
                <w14:checkbox>
                  <w14:checked w14:val="1"/>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Situational awareness and forecasting</w:t>
            </w:r>
          </w:p>
          <w:p w14:paraId="22DA5EC1" w14:textId="77777777" w:rsidR="00887EEC"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88949897"/>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Grid design and system hardening</w:t>
            </w:r>
          </w:p>
          <w:p w14:paraId="2E71CFA1" w14:textId="77777777" w:rsidR="00887EEC"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7525426"/>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Asset management and inspections</w:t>
            </w:r>
          </w:p>
          <w:p w14:paraId="5F373232" w14:textId="77777777" w:rsidR="00887EEC"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909664076"/>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638D98C8" w14:textId="77777777" w:rsidR="00887EEC"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156921503"/>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Grid operations and protocols</w:t>
            </w:r>
          </w:p>
          <w:p w14:paraId="4A2B0AB8" w14:textId="77777777" w:rsidR="00887EEC"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014891808"/>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Data governance</w:t>
            </w:r>
          </w:p>
          <w:p w14:paraId="70471B6B" w14:textId="77777777" w:rsidR="00887EEC"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900048938"/>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Resource allocation methodology</w:t>
            </w:r>
          </w:p>
          <w:p w14:paraId="72F3CB42" w14:textId="77777777" w:rsidR="00887EEC"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324660938"/>
                <w14:checkbox>
                  <w14:checked w14:val="0"/>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Emergency planning and preparedness</w:t>
            </w:r>
          </w:p>
          <w:p w14:paraId="0DC998B1" w14:textId="77777777" w:rsidR="00887EEC" w:rsidRPr="009D23C5" w:rsidRDefault="00E20D41" w:rsidP="00C115EF">
            <w:pPr>
              <w:spacing w:before="60" w:line="276" w:lineRule="auto"/>
              <w:ind w:left="360"/>
              <w:rPr>
                <w:rFonts w:ascii="Garamond" w:hAnsi="Garamond"/>
                <w:b/>
                <w:bCs/>
                <w:sz w:val="20"/>
                <w:szCs w:val="20"/>
              </w:rPr>
            </w:pPr>
            <w:sdt>
              <w:sdtPr>
                <w:rPr>
                  <w:rFonts w:ascii="Garamond" w:eastAsia="Times New Roman" w:hAnsi="Garamond"/>
                  <w:sz w:val="20"/>
                  <w:szCs w:val="20"/>
                </w:rPr>
                <w:id w:val="-2110493805"/>
                <w14:checkbox>
                  <w14:checked w14:val="1"/>
                  <w14:checkedState w14:val="2612" w14:font="MS Gothic"/>
                  <w14:uncheckedState w14:val="2610" w14:font="MS Gothic"/>
                </w14:checkbox>
              </w:sdtPr>
              <w:sdtEndPr/>
              <w:sdtContent>
                <w:r w:rsidR="00887EEC" w:rsidRPr="00D27CF3">
                  <w:rPr>
                    <w:rFonts w:ascii="MS Gothic" w:eastAsia="MS Gothic" w:hAnsi="MS Gothic" w:hint="eastAsia"/>
                    <w:sz w:val="20"/>
                    <w:szCs w:val="20"/>
                  </w:rPr>
                  <w:t>☒</w:t>
                </w:r>
              </w:sdtContent>
            </w:sdt>
            <w:r w:rsidR="00887EEC" w:rsidRPr="00D27CF3">
              <w:rPr>
                <w:rFonts w:ascii="Garamond" w:eastAsia="Times New Roman" w:hAnsi="Garamond"/>
                <w:sz w:val="20"/>
                <w:szCs w:val="20"/>
              </w:rPr>
              <w:t xml:space="preserve">  Stakeholder cooperation and community engagement</w:t>
            </w:r>
          </w:p>
        </w:tc>
      </w:tr>
      <w:tr w:rsidR="00887EEC" w14:paraId="6A0DE900" w14:textId="77777777" w:rsidTr="008416BD">
        <w:trPr>
          <w:trHeight w:val="51"/>
          <w:jc w:val="center"/>
        </w:trPr>
        <w:tc>
          <w:tcPr>
            <w:tcW w:w="9630" w:type="dxa"/>
            <w:gridSpan w:val="3"/>
            <w:tcBorders>
              <w:left w:val="nil"/>
              <w:right w:val="nil"/>
            </w:tcBorders>
          </w:tcPr>
          <w:p w14:paraId="5D71992B" w14:textId="77777777" w:rsidR="00887EEC" w:rsidRPr="007D218D" w:rsidRDefault="00887EEC" w:rsidP="00855C71">
            <w:pPr>
              <w:rPr>
                <w:rFonts w:cstheme="minorHAnsi"/>
                <w:sz w:val="8"/>
                <w:szCs w:val="8"/>
              </w:rPr>
            </w:pPr>
          </w:p>
        </w:tc>
      </w:tr>
      <w:tr w:rsidR="00887EEC" w14:paraId="3AD60F0F" w14:textId="77777777" w:rsidTr="008416BD">
        <w:trPr>
          <w:trHeight w:val="489"/>
          <w:jc w:val="center"/>
        </w:trPr>
        <w:tc>
          <w:tcPr>
            <w:tcW w:w="9630" w:type="dxa"/>
            <w:gridSpan w:val="3"/>
            <w:shd w:val="clear" w:color="auto" w:fill="D9E2F3" w:themeFill="accent1" w:themeFillTint="33"/>
          </w:tcPr>
          <w:p w14:paraId="32B091CC" w14:textId="77777777" w:rsidR="00887EEC" w:rsidRPr="00D95954" w:rsidRDefault="00887EEC"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40" behindDoc="0" locked="0" layoutInCell="1" allowOverlap="1" wp14:anchorId="27FCC292" wp14:editId="26C11975">
                  <wp:simplePos x="0" y="0"/>
                  <wp:positionH relativeFrom="leftMargin">
                    <wp:posOffset>59690</wp:posOffset>
                  </wp:positionH>
                  <wp:positionV relativeFrom="paragraph">
                    <wp:posOffset>37677</wp:posOffset>
                  </wp:positionV>
                  <wp:extent cx="245534" cy="194627"/>
                  <wp:effectExtent l="0" t="0" r="0" b="0"/>
                  <wp:wrapNone/>
                  <wp:docPr id="35" name="Graphic 35"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182747945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8639036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422341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Mid Term </w:t>
            </w:r>
            <w:r>
              <w:rPr>
                <w:rFonts w:ascii="Garamond" w:hAnsi="Garamond"/>
              </w:rPr>
              <w:t xml:space="preserve">    </w:t>
            </w:r>
            <w:sdt>
              <w:sdtPr>
                <w:rPr>
                  <w:rFonts w:ascii="Garamond" w:hAnsi="Garamond"/>
                </w:rPr>
                <w:id w:val="-1424094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bookmarkEnd w:id="4"/>
    </w:tbl>
    <w:p w14:paraId="410C8505" w14:textId="77777777" w:rsidR="00887EEC" w:rsidRDefault="00887EEC" w:rsidP="00855C71">
      <w:pPr>
        <w:spacing w:after="0"/>
        <w:rPr>
          <w:b/>
          <w:bCs/>
          <w:sz w:val="24"/>
          <w:szCs w:val="24"/>
        </w:rPr>
      </w:pPr>
    </w:p>
    <w:p w14:paraId="1857F11A" w14:textId="77777777" w:rsidR="00887EEC" w:rsidRDefault="00887EEC" w:rsidP="00855C71">
      <w:pPr>
        <w:rPr>
          <w:rFonts w:ascii="Century Gothic" w:hAnsi="Century Gothic"/>
        </w:rPr>
      </w:pPr>
      <w:r>
        <w:rPr>
          <w:rFonts w:ascii="Century Gothic" w:hAnsi="Century Gothic"/>
        </w:rPr>
        <w:t>Issue/Metric:</w:t>
      </w:r>
    </w:p>
    <w:p w14:paraId="00C93596" w14:textId="537548A7" w:rsidR="00C53A7B" w:rsidRPr="00D27CF3" w:rsidRDefault="00263804" w:rsidP="00C115EF">
      <w:pPr>
        <w:pStyle w:val="ListParagraph"/>
        <w:numPr>
          <w:ilvl w:val="0"/>
          <w:numId w:val="11"/>
        </w:numPr>
        <w:spacing w:after="0"/>
        <w:ind w:left="360"/>
        <w:contextualSpacing w:val="0"/>
        <w:rPr>
          <w:rFonts w:ascii="Garamond" w:eastAsia="Times New Roman" w:hAnsi="Garamond"/>
          <w:sz w:val="24"/>
          <w:szCs w:val="24"/>
        </w:rPr>
      </w:pPr>
      <w:r w:rsidRPr="00D27CF3">
        <w:rPr>
          <w:rFonts w:ascii="Garamond" w:eastAsia="Times New Roman" w:hAnsi="Garamond"/>
          <w:sz w:val="24"/>
          <w:szCs w:val="24"/>
        </w:rPr>
        <w:t xml:space="preserve">Level of </w:t>
      </w:r>
      <w:r w:rsidR="00887EEC" w:rsidRPr="00D27CF3">
        <w:rPr>
          <w:rFonts w:ascii="Garamond" w:eastAsia="Times New Roman" w:hAnsi="Garamond"/>
          <w:sz w:val="24"/>
          <w:szCs w:val="24"/>
        </w:rPr>
        <w:t>local government and count</w:t>
      </w:r>
      <w:r w:rsidRPr="00D27CF3">
        <w:rPr>
          <w:rFonts w:ascii="Garamond" w:eastAsia="Times New Roman" w:hAnsi="Garamond"/>
          <w:sz w:val="24"/>
          <w:szCs w:val="24"/>
        </w:rPr>
        <w:t xml:space="preserve">y integration </w:t>
      </w:r>
      <w:r w:rsidR="00887EEC" w:rsidRPr="00D27CF3">
        <w:rPr>
          <w:rFonts w:ascii="Garamond" w:eastAsia="Times New Roman" w:hAnsi="Garamond"/>
          <w:sz w:val="24"/>
          <w:szCs w:val="24"/>
        </w:rPr>
        <w:t>into the utility Emergency Operations Centers for increased</w:t>
      </w:r>
      <w:r w:rsidRPr="00D27CF3">
        <w:rPr>
          <w:rFonts w:ascii="Garamond" w:eastAsia="Times New Roman" w:hAnsi="Garamond"/>
          <w:sz w:val="24"/>
          <w:szCs w:val="24"/>
        </w:rPr>
        <w:t xml:space="preserve"> real-time</w:t>
      </w:r>
      <w:r w:rsidR="00887EEC" w:rsidRPr="00D27CF3">
        <w:rPr>
          <w:rFonts w:ascii="Garamond" w:eastAsia="Times New Roman" w:hAnsi="Garamond"/>
          <w:sz w:val="24"/>
          <w:szCs w:val="24"/>
        </w:rPr>
        <w:t xml:space="preserve"> collaboration</w:t>
      </w:r>
      <w:r w:rsidR="00EF413B" w:rsidRPr="00D27CF3">
        <w:rPr>
          <w:rFonts w:ascii="Garamond" w:eastAsia="Times New Roman" w:hAnsi="Garamond"/>
          <w:sz w:val="24"/>
          <w:szCs w:val="24"/>
        </w:rPr>
        <w:t>.</w:t>
      </w:r>
    </w:p>
    <w:p w14:paraId="42196561" w14:textId="77777777" w:rsidR="00887EEC" w:rsidRPr="000C31FC" w:rsidRDefault="00887EEC" w:rsidP="00C115EF">
      <w:pPr>
        <w:spacing w:after="0"/>
      </w:pPr>
    </w:p>
    <w:p w14:paraId="63530252" w14:textId="77777777" w:rsidR="00887EEC" w:rsidRDefault="00887EEC" w:rsidP="00C115EF">
      <w:pPr>
        <w:rPr>
          <w:rFonts w:ascii="Century Gothic" w:hAnsi="Century Gothic"/>
        </w:rPr>
      </w:pPr>
      <w:r>
        <w:rPr>
          <w:rFonts w:ascii="Century Gothic" w:hAnsi="Century Gothic"/>
        </w:rPr>
        <w:t>Current WMP Requirement:</w:t>
      </w:r>
    </w:p>
    <w:p w14:paraId="028CDF0E" w14:textId="1E82364B" w:rsidR="00887EEC" w:rsidRPr="00D27CF3" w:rsidRDefault="00887EEC" w:rsidP="00C115EF">
      <w:pPr>
        <w:pStyle w:val="ListParagraph"/>
        <w:numPr>
          <w:ilvl w:val="0"/>
          <w:numId w:val="11"/>
        </w:numPr>
        <w:spacing w:after="0"/>
        <w:ind w:left="360"/>
        <w:contextualSpacing w:val="0"/>
        <w:rPr>
          <w:rFonts w:ascii="Garamond" w:eastAsia="Times New Roman" w:hAnsi="Garamond"/>
          <w:sz w:val="24"/>
          <w:szCs w:val="24"/>
        </w:rPr>
      </w:pPr>
      <w:r w:rsidRPr="00D27CF3">
        <w:rPr>
          <w:rFonts w:ascii="Garamond" w:eastAsia="Times New Roman" w:hAnsi="Garamond"/>
          <w:sz w:val="24"/>
          <w:szCs w:val="24"/>
        </w:rPr>
        <w:t xml:space="preserve">Section 5.3.9. of the </w:t>
      </w:r>
      <w:r w:rsidR="008911CE">
        <w:rPr>
          <w:rFonts w:ascii="Garamond" w:eastAsia="Times New Roman" w:hAnsi="Garamond"/>
          <w:sz w:val="24"/>
          <w:szCs w:val="24"/>
        </w:rPr>
        <w:t xml:space="preserve">2020 </w:t>
      </w:r>
      <w:r w:rsidRPr="00D27CF3">
        <w:rPr>
          <w:rFonts w:ascii="Garamond" w:eastAsia="Times New Roman" w:hAnsi="Garamond"/>
          <w:sz w:val="24"/>
          <w:szCs w:val="24"/>
        </w:rPr>
        <w:t xml:space="preserve">WMP Guidelines requires </w:t>
      </w:r>
      <w:r w:rsidR="006B7DA1">
        <w:rPr>
          <w:rFonts w:ascii="Garamond" w:eastAsia="Times New Roman" w:hAnsi="Garamond"/>
          <w:sz w:val="24"/>
          <w:szCs w:val="24"/>
        </w:rPr>
        <w:t>each</w:t>
      </w:r>
      <w:r w:rsidR="006B7DA1" w:rsidRPr="00D27CF3">
        <w:rPr>
          <w:rFonts w:ascii="Garamond" w:eastAsia="Times New Roman" w:hAnsi="Garamond"/>
          <w:sz w:val="24"/>
          <w:szCs w:val="24"/>
        </w:rPr>
        <w:t xml:space="preserve"> utilit</w:t>
      </w:r>
      <w:r w:rsidR="006B7DA1">
        <w:rPr>
          <w:rFonts w:ascii="Garamond" w:eastAsia="Times New Roman" w:hAnsi="Garamond"/>
          <w:sz w:val="24"/>
          <w:szCs w:val="24"/>
        </w:rPr>
        <w:t>y</w:t>
      </w:r>
      <w:r w:rsidR="006B7DA1" w:rsidRPr="00D27CF3">
        <w:rPr>
          <w:rFonts w:ascii="Garamond" w:eastAsia="Times New Roman" w:hAnsi="Garamond"/>
          <w:sz w:val="24"/>
          <w:szCs w:val="24"/>
        </w:rPr>
        <w:t xml:space="preserve"> </w:t>
      </w:r>
      <w:r w:rsidRPr="00D27CF3">
        <w:rPr>
          <w:rFonts w:ascii="Garamond" w:eastAsia="Times New Roman" w:hAnsi="Garamond"/>
          <w:sz w:val="24"/>
          <w:szCs w:val="24"/>
        </w:rPr>
        <w:t xml:space="preserve">to describe how it communicates with local communities during an emergency including outreach, and awareness efforts before, during, and after a wildfire. </w:t>
      </w:r>
    </w:p>
    <w:p w14:paraId="7155D8B3" w14:textId="77777777" w:rsidR="00887EEC" w:rsidRPr="00D27CF3" w:rsidRDefault="00887EEC" w:rsidP="00C115EF">
      <w:pPr>
        <w:spacing w:after="0"/>
        <w:rPr>
          <w:rFonts w:ascii="Garamond" w:eastAsia="Times New Roman" w:hAnsi="Garamond"/>
          <w:sz w:val="24"/>
          <w:szCs w:val="24"/>
        </w:rPr>
      </w:pPr>
    </w:p>
    <w:p w14:paraId="05674936" w14:textId="5570FE04" w:rsidR="00887EEC" w:rsidRPr="00D27CF3" w:rsidRDefault="00887EEC" w:rsidP="00C115EF">
      <w:pPr>
        <w:rPr>
          <w:rFonts w:ascii="Century Gothic" w:eastAsia="Times New Roman" w:hAnsi="Century Gothic"/>
        </w:rPr>
      </w:pPr>
      <w:r w:rsidRPr="00D27CF3">
        <w:rPr>
          <w:rFonts w:ascii="Century Gothic" w:eastAsia="Times New Roman" w:hAnsi="Century Gothic"/>
        </w:rPr>
        <w:t xml:space="preserve">Board Recommendation: </w:t>
      </w:r>
    </w:p>
    <w:p w14:paraId="0E2ABBC4" w14:textId="331B76F3" w:rsidR="00C16D3E" w:rsidRPr="00D27CF3" w:rsidRDefault="005962B4" w:rsidP="00C115EF">
      <w:pPr>
        <w:pStyle w:val="ListParagraph"/>
        <w:numPr>
          <w:ilvl w:val="0"/>
          <w:numId w:val="11"/>
        </w:numPr>
        <w:spacing w:after="0"/>
        <w:ind w:left="360"/>
        <w:contextualSpacing w:val="0"/>
        <w:rPr>
          <w:rFonts w:ascii="Garamond" w:eastAsia="Times New Roman" w:hAnsi="Garamond"/>
          <w:sz w:val="24"/>
          <w:szCs w:val="24"/>
        </w:rPr>
      </w:pPr>
      <w:r w:rsidRPr="00D27CF3">
        <w:rPr>
          <w:rFonts w:ascii="Garamond" w:eastAsia="Times New Roman" w:hAnsi="Garamond"/>
          <w:sz w:val="24"/>
          <w:szCs w:val="24"/>
        </w:rPr>
        <w:t xml:space="preserve">In its review, </w:t>
      </w:r>
      <w:r w:rsidR="00887EEC" w:rsidRPr="00D27CF3">
        <w:rPr>
          <w:rFonts w:ascii="Garamond" w:eastAsia="Times New Roman" w:hAnsi="Garamond"/>
          <w:sz w:val="24"/>
          <w:szCs w:val="24"/>
        </w:rPr>
        <w:t xml:space="preserve">Wildfire Safety Division should consider </w:t>
      </w:r>
      <w:r w:rsidRPr="00D27CF3">
        <w:rPr>
          <w:rFonts w:ascii="Garamond" w:eastAsia="Times New Roman" w:hAnsi="Garamond"/>
          <w:sz w:val="24"/>
          <w:szCs w:val="24"/>
        </w:rPr>
        <w:t>whether</w:t>
      </w:r>
      <w:r w:rsidR="00887EEC" w:rsidRPr="00D27CF3">
        <w:rPr>
          <w:rFonts w:ascii="Garamond" w:eastAsia="Times New Roman" w:hAnsi="Garamond"/>
          <w:sz w:val="24"/>
          <w:szCs w:val="24"/>
        </w:rPr>
        <w:t xml:space="preserve"> the utilities have provided </w:t>
      </w:r>
      <w:r w:rsidR="00C16D3E" w:rsidRPr="00D27CF3">
        <w:rPr>
          <w:rFonts w:ascii="Garamond" w:eastAsia="Times New Roman" w:hAnsi="Garamond"/>
          <w:sz w:val="24"/>
          <w:szCs w:val="24"/>
        </w:rPr>
        <w:t xml:space="preserve">information </w:t>
      </w:r>
      <w:r w:rsidR="007E0807" w:rsidRPr="00D27CF3">
        <w:rPr>
          <w:rFonts w:ascii="Garamond" w:eastAsia="Times New Roman" w:hAnsi="Garamond"/>
          <w:sz w:val="24"/>
          <w:szCs w:val="24"/>
        </w:rPr>
        <w:t xml:space="preserve">to demonstrate that they are </w:t>
      </w:r>
      <w:r w:rsidR="00E52C0B" w:rsidRPr="00D27CF3">
        <w:rPr>
          <w:rFonts w:ascii="Garamond" w:eastAsia="Times New Roman" w:hAnsi="Garamond"/>
          <w:sz w:val="24"/>
          <w:szCs w:val="24"/>
        </w:rPr>
        <w:t>forming</w:t>
      </w:r>
      <w:r w:rsidR="007E0807" w:rsidRPr="00D27CF3">
        <w:rPr>
          <w:rFonts w:ascii="Garamond" w:eastAsia="Times New Roman" w:hAnsi="Garamond"/>
          <w:sz w:val="24"/>
          <w:szCs w:val="24"/>
        </w:rPr>
        <w:t xml:space="preserve"> closer partnerships with local city and county governments,</w:t>
      </w:r>
      <w:r w:rsidR="00626CA0">
        <w:rPr>
          <w:rFonts w:ascii="Garamond" w:eastAsia="Times New Roman" w:hAnsi="Garamond"/>
          <w:sz w:val="24"/>
          <w:szCs w:val="24"/>
        </w:rPr>
        <w:t xml:space="preserve"> </w:t>
      </w:r>
      <w:r w:rsidR="00787CAE">
        <w:rPr>
          <w:rFonts w:ascii="Garamond" w:eastAsia="Times New Roman" w:hAnsi="Garamond"/>
          <w:sz w:val="24"/>
          <w:szCs w:val="24"/>
        </w:rPr>
        <w:t>with protocols for informing city and county fire departments,</w:t>
      </w:r>
      <w:r w:rsidR="007E0807" w:rsidRPr="00D27CF3">
        <w:rPr>
          <w:rFonts w:ascii="Garamond" w:eastAsia="Times New Roman" w:hAnsi="Garamond"/>
          <w:sz w:val="24"/>
          <w:szCs w:val="24"/>
        </w:rPr>
        <w:t xml:space="preserve"> </w:t>
      </w:r>
      <w:r w:rsidR="002E6DE3" w:rsidRPr="00D27CF3">
        <w:rPr>
          <w:rFonts w:ascii="Garamond" w:eastAsia="Times New Roman" w:hAnsi="Garamond"/>
          <w:sz w:val="24"/>
          <w:szCs w:val="24"/>
        </w:rPr>
        <w:t>and</w:t>
      </w:r>
      <w:r w:rsidR="00E14D7C" w:rsidRPr="00D27CF3">
        <w:rPr>
          <w:rFonts w:ascii="Garamond" w:eastAsia="Times New Roman" w:hAnsi="Garamond"/>
          <w:sz w:val="24"/>
          <w:szCs w:val="24"/>
        </w:rPr>
        <w:t xml:space="preserve"> </w:t>
      </w:r>
      <w:r w:rsidR="00EB7F57" w:rsidRPr="00D27CF3">
        <w:rPr>
          <w:rFonts w:ascii="Garamond" w:eastAsia="Times New Roman" w:hAnsi="Garamond"/>
          <w:sz w:val="24"/>
          <w:szCs w:val="24"/>
        </w:rPr>
        <w:t xml:space="preserve">have </w:t>
      </w:r>
      <w:r w:rsidR="007E0807" w:rsidRPr="00D27CF3">
        <w:rPr>
          <w:rFonts w:ascii="Garamond" w:eastAsia="Times New Roman" w:hAnsi="Garamond"/>
          <w:sz w:val="24"/>
          <w:szCs w:val="24"/>
        </w:rPr>
        <w:t xml:space="preserve">a </w:t>
      </w:r>
      <w:r w:rsidR="00887EEC" w:rsidRPr="00D27CF3">
        <w:rPr>
          <w:rFonts w:ascii="Garamond" w:eastAsia="Times New Roman" w:hAnsi="Garamond"/>
          <w:sz w:val="24"/>
          <w:szCs w:val="24"/>
        </w:rPr>
        <w:t xml:space="preserve">competent and qualified liaison for the local governments and counties </w:t>
      </w:r>
      <w:r w:rsidR="002E6DE3" w:rsidRPr="00D27CF3">
        <w:rPr>
          <w:rFonts w:ascii="Garamond" w:eastAsia="Times New Roman" w:hAnsi="Garamond"/>
          <w:sz w:val="24"/>
          <w:szCs w:val="24"/>
        </w:rPr>
        <w:t>when</w:t>
      </w:r>
      <w:r w:rsidR="00887EEC" w:rsidRPr="00D27CF3">
        <w:rPr>
          <w:rFonts w:ascii="Garamond" w:eastAsia="Times New Roman" w:hAnsi="Garamond"/>
          <w:sz w:val="24"/>
          <w:szCs w:val="24"/>
        </w:rPr>
        <w:t xml:space="preserve"> a utility assembles an Incident Management Team at an Emergency Operations Center concerning a possible Public Safety Power Shutoff (PSPS) condition or event.  </w:t>
      </w:r>
    </w:p>
    <w:p w14:paraId="59DBDE0D" w14:textId="77777777" w:rsidR="00AD2351" w:rsidRPr="00D27CF3" w:rsidRDefault="00AD2351" w:rsidP="00C115EF">
      <w:pPr>
        <w:spacing w:after="0"/>
        <w:rPr>
          <w:rFonts w:ascii="Garamond" w:eastAsia="Times New Roman" w:hAnsi="Garamond"/>
          <w:sz w:val="24"/>
          <w:szCs w:val="24"/>
        </w:rPr>
      </w:pPr>
    </w:p>
    <w:p w14:paraId="2D100945" w14:textId="19F90038" w:rsidR="00887EEC" w:rsidRPr="00D27CF3" w:rsidRDefault="00263804" w:rsidP="00C115EF">
      <w:pPr>
        <w:rPr>
          <w:rFonts w:ascii="Century Gothic" w:eastAsia="Times New Roman" w:hAnsi="Century Gothic"/>
        </w:rPr>
      </w:pPr>
      <w:r w:rsidRPr="00D27CF3">
        <w:rPr>
          <w:rFonts w:ascii="Century Gothic" w:eastAsia="Times New Roman" w:hAnsi="Century Gothic"/>
        </w:rPr>
        <w:t>Observations</w:t>
      </w:r>
      <w:r w:rsidR="00887EEC" w:rsidRPr="00D27CF3">
        <w:rPr>
          <w:rFonts w:ascii="Century Gothic" w:eastAsia="Times New Roman" w:hAnsi="Century Gothic"/>
        </w:rPr>
        <w:t>:</w:t>
      </w:r>
    </w:p>
    <w:p w14:paraId="3B193B4D" w14:textId="290F5B18" w:rsidR="0041064B" w:rsidRPr="00D27CF3" w:rsidRDefault="00887EEC"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The utilities</w:t>
      </w:r>
      <w:r w:rsidR="00EF413B" w:rsidRPr="00D27CF3">
        <w:rPr>
          <w:rFonts w:ascii="Garamond" w:eastAsia="Times New Roman" w:hAnsi="Garamond"/>
          <w:sz w:val="24"/>
          <w:szCs w:val="24"/>
        </w:rPr>
        <w:t xml:space="preserve"> </w:t>
      </w:r>
      <w:r w:rsidRPr="00D27CF3">
        <w:rPr>
          <w:rFonts w:ascii="Garamond" w:eastAsia="Times New Roman" w:hAnsi="Garamond"/>
          <w:sz w:val="24"/>
          <w:szCs w:val="24"/>
        </w:rPr>
        <w:t xml:space="preserve">have historic relationships with communities based on delivery of </w:t>
      </w:r>
      <w:r w:rsidR="00E36D72" w:rsidRPr="00D27CF3">
        <w:rPr>
          <w:rFonts w:ascii="Garamond" w:eastAsia="Times New Roman" w:hAnsi="Garamond"/>
          <w:sz w:val="24"/>
          <w:szCs w:val="24"/>
        </w:rPr>
        <w:t xml:space="preserve">electricity and gas </w:t>
      </w:r>
      <w:r w:rsidRPr="00D27CF3">
        <w:rPr>
          <w:rFonts w:ascii="Garamond" w:eastAsia="Times New Roman" w:hAnsi="Garamond"/>
          <w:sz w:val="24"/>
          <w:szCs w:val="24"/>
        </w:rPr>
        <w:t xml:space="preserve">service. </w:t>
      </w:r>
      <w:r w:rsidR="00E36D72" w:rsidRPr="00D27CF3">
        <w:rPr>
          <w:rFonts w:ascii="Garamond" w:eastAsia="Times New Roman" w:hAnsi="Garamond"/>
          <w:sz w:val="24"/>
          <w:szCs w:val="24"/>
        </w:rPr>
        <w:t xml:space="preserve"> </w:t>
      </w:r>
      <w:r w:rsidR="004E7167" w:rsidRPr="00D27CF3">
        <w:rPr>
          <w:rFonts w:ascii="Garamond" w:eastAsia="Times New Roman" w:hAnsi="Garamond"/>
          <w:sz w:val="24"/>
          <w:szCs w:val="24"/>
        </w:rPr>
        <w:t>Under wildfire threat, utilit</w:t>
      </w:r>
      <w:r w:rsidR="00421F04" w:rsidRPr="00D27CF3">
        <w:rPr>
          <w:rFonts w:ascii="Garamond" w:eastAsia="Times New Roman" w:hAnsi="Garamond"/>
          <w:sz w:val="24"/>
          <w:szCs w:val="24"/>
        </w:rPr>
        <w:t xml:space="preserve">ies are </w:t>
      </w:r>
      <w:r w:rsidR="008929F5" w:rsidRPr="00D27CF3">
        <w:rPr>
          <w:rFonts w:ascii="Garamond" w:eastAsia="Times New Roman" w:hAnsi="Garamond"/>
          <w:sz w:val="24"/>
          <w:szCs w:val="24"/>
        </w:rPr>
        <w:t xml:space="preserve">acquiring </w:t>
      </w:r>
      <w:r w:rsidR="001A2757" w:rsidRPr="00D27CF3">
        <w:rPr>
          <w:rFonts w:ascii="Garamond" w:eastAsia="Times New Roman" w:hAnsi="Garamond"/>
          <w:sz w:val="24"/>
          <w:szCs w:val="24"/>
        </w:rPr>
        <w:t xml:space="preserve">increased </w:t>
      </w:r>
      <w:r w:rsidR="00C34792" w:rsidRPr="00D27CF3">
        <w:rPr>
          <w:rFonts w:ascii="Garamond" w:eastAsia="Times New Roman" w:hAnsi="Garamond"/>
          <w:sz w:val="24"/>
          <w:szCs w:val="24"/>
        </w:rPr>
        <w:t>situation awareness</w:t>
      </w:r>
      <w:r w:rsidR="001A2757" w:rsidRPr="00D27CF3">
        <w:rPr>
          <w:rFonts w:ascii="Garamond" w:eastAsia="Times New Roman" w:hAnsi="Garamond"/>
          <w:sz w:val="24"/>
          <w:szCs w:val="24"/>
        </w:rPr>
        <w:t xml:space="preserve"> that should be shared </w:t>
      </w:r>
      <w:r w:rsidRPr="00D27CF3">
        <w:rPr>
          <w:rFonts w:ascii="Garamond" w:eastAsia="Times New Roman" w:hAnsi="Garamond"/>
          <w:sz w:val="24"/>
          <w:szCs w:val="24"/>
        </w:rPr>
        <w:t>with local city and county governments agencies at all levels</w:t>
      </w:r>
      <w:r w:rsidR="00D173CD" w:rsidRPr="00D27CF3">
        <w:rPr>
          <w:rFonts w:ascii="Garamond" w:eastAsia="Times New Roman" w:hAnsi="Garamond"/>
          <w:sz w:val="24"/>
          <w:szCs w:val="24"/>
        </w:rPr>
        <w:t xml:space="preserve"> in real-time</w:t>
      </w:r>
      <w:r w:rsidR="00CB0582" w:rsidRPr="00D27CF3">
        <w:rPr>
          <w:rFonts w:ascii="Garamond" w:eastAsia="Times New Roman" w:hAnsi="Garamond"/>
          <w:sz w:val="24"/>
          <w:szCs w:val="24"/>
        </w:rPr>
        <w:t xml:space="preserve"> at Emergency Operations Centers (EOC)</w:t>
      </w:r>
      <w:r w:rsidR="00D50F32">
        <w:rPr>
          <w:rFonts w:ascii="Garamond" w:eastAsia="Times New Roman" w:hAnsi="Garamond"/>
          <w:sz w:val="24"/>
          <w:szCs w:val="24"/>
        </w:rPr>
        <w:t xml:space="preserve">.  </w:t>
      </w:r>
      <w:r w:rsidR="00D173CD" w:rsidRPr="00D27CF3">
        <w:rPr>
          <w:rFonts w:ascii="Garamond" w:eastAsia="Times New Roman" w:hAnsi="Garamond"/>
          <w:sz w:val="24"/>
          <w:szCs w:val="24"/>
        </w:rPr>
        <w:t>Impacted</w:t>
      </w:r>
      <w:r w:rsidRPr="00D27CF3">
        <w:rPr>
          <w:rFonts w:ascii="Garamond" w:eastAsia="Times New Roman" w:hAnsi="Garamond"/>
          <w:sz w:val="24"/>
          <w:szCs w:val="24"/>
        </w:rPr>
        <w:t xml:space="preserve"> county or local government liaison</w:t>
      </w:r>
      <w:r w:rsidR="00637DF8" w:rsidRPr="00D27CF3">
        <w:rPr>
          <w:rFonts w:ascii="Garamond" w:eastAsia="Times New Roman" w:hAnsi="Garamond"/>
          <w:sz w:val="24"/>
          <w:szCs w:val="24"/>
        </w:rPr>
        <w:t xml:space="preserve">s </w:t>
      </w:r>
      <w:r w:rsidR="00B251B0">
        <w:rPr>
          <w:rFonts w:ascii="Garamond" w:eastAsia="Times New Roman" w:hAnsi="Garamond"/>
          <w:sz w:val="24"/>
          <w:szCs w:val="24"/>
        </w:rPr>
        <w:t>should</w:t>
      </w:r>
      <w:r w:rsidR="00637DF8" w:rsidRPr="00D27CF3">
        <w:rPr>
          <w:rFonts w:ascii="Garamond" w:eastAsia="Times New Roman" w:hAnsi="Garamond"/>
          <w:sz w:val="24"/>
          <w:szCs w:val="24"/>
        </w:rPr>
        <w:t xml:space="preserve"> </w:t>
      </w:r>
      <w:r w:rsidRPr="00D27CF3">
        <w:rPr>
          <w:rFonts w:ascii="Garamond" w:eastAsia="Times New Roman" w:hAnsi="Garamond"/>
          <w:sz w:val="24"/>
          <w:szCs w:val="24"/>
        </w:rPr>
        <w:t xml:space="preserve">be </w:t>
      </w:r>
      <w:r w:rsidR="001D5ACB">
        <w:rPr>
          <w:rFonts w:ascii="Garamond" w:eastAsia="Times New Roman" w:hAnsi="Garamond"/>
          <w:sz w:val="24"/>
          <w:szCs w:val="24"/>
        </w:rPr>
        <w:t xml:space="preserve">integrated </w:t>
      </w:r>
      <w:r w:rsidR="00CB0582" w:rsidRPr="00D27CF3">
        <w:rPr>
          <w:rFonts w:ascii="Garamond" w:eastAsia="Times New Roman" w:hAnsi="Garamond"/>
          <w:sz w:val="24"/>
          <w:szCs w:val="24"/>
        </w:rPr>
        <w:t xml:space="preserve">in the EOC </w:t>
      </w:r>
      <w:r w:rsidR="00637DF8" w:rsidRPr="00D27CF3">
        <w:rPr>
          <w:rFonts w:ascii="Garamond" w:eastAsia="Times New Roman" w:hAnsi="Garamond"/>
          <w:sz w:val="24"/>
          <w:szCs w:val="24"/>
        </w:rPr>
        <w:t xml:space="preserve">to </w:t>
      </w:r>
      <w:r w:rsidRPr="00D27CF3">
        <w:rPr>
          <w:rFonts w:ascii="Garamond" w:eastAsia="Times New Roman" w:hAnsi="Garamond"/>
          <w:sz w:val="24"/>
          <w:szCs w:val="24"/>
        </w:rPr>
        <w:t>actively participat</w:t>
      </w:r>
      <w:r w:rsidR="00637DF8" w:rsidRPr="00D27CF3">
        <w:rPr>
          <w:rFonts w:ascii="Garamond" w:eastAsia="Times New Roman" w:hAnsi="Garamond"/>
          <w:sz w:val="24"/>
          <w:szCs w:val="24"/>
        </w:rPr>
        <w:t>e in</w:t>
      </w:r>
      <w:r w:rsidRPr="00D27CF3">
        <w:rPr>
          <w:rFonts w:ascii="Garamond" w:eastAsia="Times New Roman" w:hAnsi="Garamond"/>
          <w:sz w:val="24"/>
          <w:szCs w:val="24"/>
        </w:rPr>
        <w:t xml:space="preserve"> informational briefings.  The liaison </w:t>
      </w:r>
      <w:r w:rsidR="00637DF8" w:rsidRPr="00D27CF3">
        <w:rPr>
          <w:rFonts w:ascii="Garamond" w:eastAsia="Times New Roman" w:hAnsi="Garamond"/>
          <w:sz w:val="24"/>
          <w:szCs w:val="24"/>
        </w:rPr>
        <w:t>will</w:t>
      </w:r>
      <w:r w:rsidRPr="00D27CF3">
        <w:rPr>
          <w:rFonts w:ascii="Garamond" w:eastAsia="Times New Roman" w:hAnsi="Garamond"/>
          <w:sz w:val="24"/>
          <w:szCs w:val="24"/>
        </w:rPr>
        <w:t xml:space="preserve"> then </w:t>
      </w:r>
      <w:r w:rsidR="00637DF8" w:rsidRPr="00D27CF3">
        <w:rPr>
          <w:rFonts w:ascii="Garamond" w:eastAsia="Times New Roman" w:hAnsi="Garamond"/>
          <w:sz w:val="24"/>
          <w:szCs w:val="24"/>
        </w:rPr>
        <w:t xml:space="preserve">be able to </w:t>
      </w:r>
      <w:r w:rsidRPr="00D27CF3">
        <w:rPr>
          <w:rFonts w:ascii="Garamond" w:eastAsia="Times New Roman" w:hAnsi="Garamond"/>
          <w:sz w:val="24"/>
          <w:szCs w:val="24"/>
        </w:rPr>
        <w:t xml:space="preserve">activate resources and identify local at-risk population </w:t>
      </w:r>
      <w:r w:rsidR="00637DF8" w:rsidRPr="00D27CF3">
        <w:rPr>
          <w:rFonts w:ascii="Garamond" w:eastAsia="Times New Roman" w:hAnsi="Garamond"/>
          <w:sz w:val="24"/>
          <w:szCs w:val="24"/>
        </w:rPr>
        <w:t>requiring</w:t>
      </w:r>
      <w:r w:rsidRPr="00D27CF3">
        <w:rPr>
          <w:rFonts w:ascii="Garamond" w:eastAsia="Times New Roman" w:hAnsi="Garamond"/>
          <w:sz w:val="24"/>
          <w:szCs w:val="24"/>
        </w:rPr>
        <w:t xml:space="preserve"> enhanced services</w:t>
      </w:r>
      <w:r w:rsidR="001D5ACB">
        <w:rPr>
          <w:rFonts w:ascii="Garamond" w:eastAsia="Times New Roman" w:hAnsi="Garamond"/>
          <w:sz w:val="24"/>
          <w:szCs w:val="24"/>
        </w:rPr>
        <w:t xml:space="preserve"> to reduce PSPS impact</w:t>
      </w:r>
      <w:r w:rsidRPr="00D27CF3">
        <w:rPr>
          <w:rFonts w:ascii="Garamond" w:eastAsia="Times New Roman" w:hAnsi="Garamond"/>
          <w:sz w:val="24"/>
          <w:szCs w:val="24"/>
        </w:rPr>
        <w:t xml:space="preserve">. </w:t>
      </w:r>
      <w:r w:rsidR="00434416" w:rsidRPr="00D27CF3">
        <w:rPr>
          <w:rFonts w:ascii="Garamond" w:eastAsia="Times New Roman" w:hAnsi="Garamond"/>
          <w:sz w:val="24"/>
          <w:szCs w:val="24"/>
        </w:rPr>
        <w:t xml:space="preserve"> </w:t>
      </w:r>
    </w:p>
    <w:p w14:paraId="325CAE9C" w14:textId="17C641FD" w:rsidR="00887EEC" w:rsidRDefault="00787CB1" w:rsidP="00C115EF">
      <w:pPr>
        <w:pStyle w:val="ListParagraph"/>
        <w:numPr>
          <w:ilvl w:val="0"/>
          <w:numId w:val="11"/>
        </w:numPr>
        <w:ind w:left="360"/>
        <w:contextualSpacing w:val="0"/>
        <w:rPr>
          <w:rFonts w:ascii="Garamond" w:eastAsia="Times New Roman" w:hAnsi="Garamond"/>
          <w:sz w:val="24"/>
          <w:szCs w:val="24"/>
        </w:rPr>
      </w:pPr>
      <w:r>
        <w:rPr>
          <w:rFonts w:ascii="Garamond" w:eastAsia="Times New Roman" w:hAnsi="Garamond"/>
          <w:sz w:val="24"/>
          <w:szCs w:val="24"/>
        </w:rPr>
        <w:t>C</w:t>
      </w:r>
      <w:r w:rsidR="00887EEC" w:rsidRPr="00D27CF3">
        <w:rPr>
          <w:rFonts w:ascii="Garamond" w:eastAsia="Times New Roman" w:hAnsi="Garamond"/>
          <w:sz w:val="24"/>
          <w:szCs w:val="24"/>
        </w:rPr>
        <w:t xml:space="preserve">ity and county governments are responsible for meeting a wide range of local needs </w:t>
      </w:r>
      <w:r w:rsidR="00B13A6E" w:rsidRPr="00D27CF3">
        <w:rPr>
          <w:rFonts w:ascii="Garamond" w:eastAsia="Times New Roman" w:hAnsi="Garamond"/>
          <w:sz w:val="24"/>
          <w:szCs w:val="24"/>
        </w:rPr>
        <w:t xml:space="preserve">including </w:t>
      </w:r>
      <w:r w:rsidR="000606A9" w:rsidRPr="00D27CF3">
        <w:rPr>
          <w:rFonts w:ascii="Garamond" w:eastAsia="Times New Roman" w:hAnsi="Garamond"/>
          <w:sz w:val="24"/>
          <w:szCs w:val="24"/>
        </w:rPr>
        <w:t>identifying</w:t>
      </w:r>
      <w:r w:rsidR="00162338" w:rsidRPr="00D27CF3">
        <w:rPr>
          <w:rFonts w:ascii="Garamond" w:eastAsia="Times New Roman" w:hAnsi="Garamond"/>
          <w:sz w:val="24"/>
          <w:szCs w:val="24"/>
        </w:rPr>
        <w:t xml:space="preserve"> </w:t>
      </w:r>
      <w:r w:rsidR="00887EEC" w:rsidRPr="00D27CF3">
        <w:rPr>
          <w:rFonts w:ascii="Garamond" w:eastAsia="Times New Roman" w:hAnsi="Garamond"/>
          <w:sz w:val="24"/>
          <w:szCs w:val="24"/>
        </w:rPr>
        <w:t>at-risk populations rapidly,</w:t>
      </w:r>
      <w:r w:rsidR="000606A9" w:rsidRPr="00D27CF3">
        <w:rPr>
          <w:rFonts w:ascii="Garamond" w:eastAsia="Times New Roman" w:hAnsi="Garamond"/>
          <w:sz w:val="24"/>
          <w:szCs w:val="24"/>
        </w:rPr>
        <w:t xml:space="preserve"> including </w:t>
      </w:r>
      <w:r w:rsidR="00887EEC" w:rsidRPr="00D27CF3">
        <w:rPr>
          <w:rFonts w:ascii="Garamond" w:eastAsia="Times New Roman" w:hAnsi="Garamond"/>
          <w:sz w:val="24"/>
          <w:szCs w:val="24"/>
        </w:rPr>
        <w:t>Medical Baseline customers</w:t>
      </w:r>
      <w:r w:rsidR="000606A9" w:rsidRPr="00D27CF3">
        <w:rPr>
          <w:rFonts w:ascii="Garamond" w:eastAsia="Times New Roman" w:hAnsi="Garamond"/>
          <w:sz w:val="24"/>
          <w:szCs w:val="24"/>
        </w:rPr>
        <w:t xml:space="preserve"> and beyond</w:t>
      </w:r>
      <w:r w:rsidR="001D5ACB">
        <w:rPr>
          <w:rFonts w:ascii="Garamond" w:eastAsia="Times New Roman" w:hAnsi="Garamond"/>
          <w:sz w:val="24"/>
          <w:szCs w:val="24"/>
        </w:rPr>
        <w:t>.</w:t>
      </w:r>
      <w:r w:rsidR="00887EEC" w:rsidRPr="00D27CF3">
        <w:rPr>
          <w:rFonts w:ascii="Garamond" w:eastAsia="Times New Roman" w:hAnsi="Garamond"/>
          <w:sz w:val="24"/>
          <w:szCs w:val="24"/>
        </w:rPr>
        <w:t xml:space="preserve"> </w:t>
      </w:r>
    </w:p>
    <w:p w14:paraId="2BDE336B" w14:textId="65FAE87D" w:rsidR="00A10539" w:rsidRPr="009B62AA" w:rsidRDefault="00177115" w:rsidP="00C115EF">
      <w:pPr>
        <w:pStyle w:val="ListParagraph"/>
        <w:numPr>
          <w:ilvl w:val="0"/>
          <w:numId w:val="11"/>
        </w:numPr>
        <w:ind w:left="360"/>
        <w:contextualSpacing w:val="0"/>
        <w:rPr>
          <w:rFonts w:ascii="Garamond" w:eastAsia="Times New Roman" w:hAnsi="Garamond"/>
          <w:color w:val="FF0000"/>
          <w:sz w:val="24"/>
          <w:szCs w:val="24"/>
        </w:rPr>
      </w:pPr>
      <w:r w:rsidRPr="009B62AA">
        <w:rPr>
          <w:rFonts w:ascii="Garamond" w:eastAsia="Times New Roman" w:hAnsi="Garamond"/>
          <w:color w:val="FF0000"/>
          <w:sz w:val="24"/>
          <w:szCs w:val="24"/>
        </w:rPr>
        <w:t>The global COVID-19 pandemic</w:t>
      </w:r>
      <w:r w:rsidR="0030778E" w:rsidRPr="009B62AA">
        <w:rPr>
          <w:rFonts w:ascii="Garamond" w:eastAsia="Times New Roman" w:hAnsi="Garamond"/>
          <w:color w:val="FF0000"/>
          <w:sz w:val="24"/>
          <w:szCs w:val="24"/>
        </w:rPr>
        <w:t xml:space="preserve"> </w:t>
      </w:r>
      <w:r w:rsidR="00D0617E" w:rsidRPr="009B62AA">
        <w:rPr>
          <w:rFonts w:ascii="Garamond" w:eastAsia="Times New Roman" w:hAnsi="Garamond"/>
          <w:color w:val="FF0000"/>
          <w:sz w:val="24"/>
          <w:szCs w:val="24"/>
        </w:rPr>
        <w:t xml:space="preserve">makes </w:t>
      </w:r>
      <w:r w:rsidR="00FC7854" w:rsidRPr="009B62AA">
        <w:rPr>
          <w:rFonts w:ascii="Garamond" w:eastAsia="Times New Roman" w:hAnsi="Garamond"/>
          <w:color w:val="FF0000"/>
          <w:sz w:val="24"/>
          <w:szCs w:val="24"/>
        </w:rPr>
        <w:t>f</w:t>
      </w:r>
      <w:r w:rsidR="00316792" w:rsidRPr="009B62AA">
        <w:rPr>
          <w:rFonts w:ascii="Garamond" w:eastAsia="Times New Roman" w:hAnsi="Garamond"/>
          <w:color w:val="FF0000"/>
          <w:sz w:val="24"/>
          <w:szCs w:val="24"/>
        </w:rPr>
        <w:t>orming deeper partnerships</w:t>
      </w:r>
      <w:r w:rsidR="00D0617E" w:rsidRPr="009B62AA">
        <w:rPr>
          <w:rFonts w:ascii="Garamond" w:eastAsia="Times New Roman" w:hAnsi="Garamond"/>
          <w:color w:val="FF0000"/>
          <w:sz w:val="24"/>
          <w:szCs w:val="24"/>
        </w:rPr>
        <w:t xml:space="preserve"> with </w:t>
      </w:r>
      <w:r w:rsidR="00074C3A" w:rsidRPr="009B62AA">
        <w:rPr>
          <w:rFonts w:ascii="Garamond" w:eastAsia="Times New Roman" w:hAnsi="Garamond"/>
          <w:color w:val="FF0000"/>
          <w:sz w:val="24"/>
          <w:szCs w:val="24"/>
        </w:rPr>
        <w:t xml:space="preserve">local </w:t>
      </w:r>
      <w:r w:rsidR="00352CCD" w:rsidRPr="009B62AA">
        <w:rPr>
          <w:rFonts w:ascii="Garamond" w:eastAsia="Times New Roman" w:hAnsi="Garamond"/>
          <w:color w:val="FF0000"/>
          <w:sz w:val="24"/>
          <w:szCs w:val="24"/>
        </w:rPr>
        <w:t>city and</w:t>
      </w:r>
      <w:r w:rsidR="00074C3A" w:rsidRPr="009B62AA">
        <w:rPr>
          <w:rFonts w:ascii="Garamond" w:eastAsia="Times New Roman" w:hAnsi="Garamond"/>
          <w:color w:val="FF0000"/>
          <w:sz w:val="24"/>
          <w:szCs w:val="24"/>
        </w:rPr>
        <w:t xml:space="preserve"> </w:t>
      </w:r>
      <w:r w:rsidR="00D944A2" w:rsidRPr="009B62AA">
        <w:rPr>
          <w:rFonts w:ascii="Garamond" w:eastAsia="Times New Roman" w:hAnsi="Garamond"/>
          <w:color w:val="FF0000"/>
          <w:sz w:val="24"/>
          <w:szCs w:val="24"/>
        </w:rPr>
        <w:t>county governments, with protocols for informing city and county agencies and first responders</w:t>
      </w:r>
      <w:r w:rsidR="00352CCD" w:rsidRPr="009B62AA">
        <w:rPr>
          <w:rFonts w:ascii="Garamond" w:eastAsia="Times New Roman" w:hAnsi="Garamond"/>
          <w:color w:val="FF0000"/>
          <w:sz w:val="24"/>
          <w:szCs w:val="24"/>
        </w:rPr>
        <w:t xml:space="preserve"> critical</w:t>
      </w:r>
      <w:r w:rsidR="00074C3A" w:rsidRPr="009B62AA">
        <w:rPr>
          <w:rFonts w:ascii="Garamond" w:eastAsia="Times New Roman" w:hAnsi="Garamond"/>
          <w:color w:val="FF0000"/>
          <w:sz w:val="24"/>
          <w:szCs w:val="24"/>
        </w:rPr>
        <w:t xml:space="preserve">.  Community partners </w:t>
      </w:r>
      <w:r w:rsidR="005B4BAB" w:rsidRPr="009B62AA">
        <w:rPr>
          <w:rFonts w:ascii="Garamond" w:eastAsia="Times New Roman" w:hAnsi="Garamond"/>
          <w:color w:val="FF0000"/>
          <w:sz w:val="24"/>
          <w:szCs w:val="24"/>
        </w:rPr>
        <w:t xml:space="preserve">can help the utilities </w:t>
      </w:r>
      <w:r w:rsidR="00190B11" w:rsidRPr="009B62AA">
        <w:rPr>
          <w:rFonts w:ascii="Garamond" w:eastAsia="Times New Roman" w:hAnsi="Garamond"/>
          <w:color w:val="FF0000"/>
          <w:sz w:val="24"/>
          <w:szCs w:val="24"/>
        </w:rPr>
        <w:t xml:space="preserve">manage any new developments </w:t>
      </w:r>
      <w:r w:rsidR="00BB4AA9" w:rsidRPr="009B62AA">
        <w:rPr>
          <w:rFonts w:ascii="Garamond" w:eastAsia="Times New Roman" w:hAnsi="Garamond"/>
          <w:color w:val="FF0000"/>
          <w:sz w:val="24"/>
          <w:szCs w:val="24"/>
        </w:rPr>
        <w:t xml:space="preserve">or additional emergency response measures </w:t>
      </w:r>
      <w:r w:rsidR="00190B11" w:rsidRPr="009B62AA">
        <w:rPr>
          <w:rFonts w:ascii="Garamond" w:eastAsia="Times New Roman" w:hAnsi="Garamond"/>
          <w:color w:val="FF0000"/>
          <w:sz w:val="24"/>
          <w:szCs w:val="24"/>
        </w:rPr>
        <w:t xml:space="preserve">that result from COVID-19.  </w:t>
      </w:r>
      <w:r w:rsidR="007C683A" w:rsidRPr="009B62AA">
        <w:rPr>
          <w:rFonts w:ascii="Garamond" w:eastAsia="Times New Roman" w:hAnsi="Garamond"/>
          <w:color w:val="FF0000"/>
          <w:sz w:val="24"/>
          <w:szCs w:val="24"/>
        </w:rPr>
        <w:t xml:space="preserve">Given the health </w:t>
      </w:r>
      <w:r w:rsidR="002679AB" w:rsidRPr="009B62AA">
        <w:rPr>
          <w:rFonts w:ascii="Garamond" w:eastAsia="Times New Roman" w:hAnsi="Garamond"/>
          <w:color w:val="FF0000"/>
          <w:sz w:val="24"/>
          <w:szCs w:val="24"/>
        </w:rPr>
        <w:t>risks</w:t>
      </w:r>
      <w:r w:rsidR="007C683A" w:rsidRPr="009B62AA">
        <w:rPr>
          <w:rFonts w:ascii="Garamond" w:eastAsia="Times New Roman" w:hAnsi="Garamond"/>
          <w:color w:val="FF0000"/>
          <w:sz w:val="24"/>
          <w:szCs w:val="24"/>
        </w:rPr>
        <w:t xml:space="preserve"> for </w:t>
      </w:r>
      <w:r w:rsidR="00B55B07" w:rsidRPr="009B62AA">
        <w:rPr>
          <w:rFonts w:ascii="Garamond" w:eastAsia="Times New Roman" w:hAnsi="Garamond"/>
          <w:color w:val="FF0000"/>
          <w:sz w:val="24"/>
          <w:szCs w:val="24"/>
        </w:rPr>
        <w:t xml:space="preserve">local </w:t>
      </w:r>
      <w:r w:rsidR="000F3E5A" w:rsidRPr="009B62AA">
        <w:rPr>
          <w:rFonts w:ascii="Garamond" w:eastAsia="Times New Roman" w:hAnsi="Garamond"/>
          <w:color w:val="FF0000"/>
          <w:sz w:val="24"/>
          <w:szCs w:val="24"/>
        </w:rPr>
        <w:t xml:space="preserve">government or community </w:t>
      </w:r>
      <w:r w:rsidR="00B55B07" w:rsidRPr="009B62AA">
        <w:rPr>
          <w:rFonts w:ascii="Garamond" w:eastAsia="Times New Roman" w:hAnsi="Garamond"/>
          <w:color w:val="FF0000"/>
          <w:sz w:val="24"/>
          <w:szCs w:val="24"/>
        </w:rPr>
        <w:t xml:space="preserve">staff </w:t>
      </w:r>
      <w:r w:rsidR="000F3E5A" w:rsidRPr="009B62AA">
        <w:rPr>
          <w:rFonts w:ascii="Garamond" w:eastAsia="Times New Roman" w:hAnsi="Garamond"/>
          <w:color w:val="FF0000"/>
          <w:sz w:val="24"/>
          <w:szCs w:val="24"/>
        </w:rPr>
        <w:t xml:space="preserve">that are </w:t>
      </w:r>
      <w:r w:rsidR="00B55B07" w:rsidRPr="009B62AA">
        <w:rPr>
          <w:rFonts w:ascii="Garamond" w:eastAsia="Times New Roman" w:hAnsi="Garamond"/>
          <w:color w:val="FF0000"/>
          <w:sz w:val="24"/>
          <w:szCs w:val="24"/>
        </w:rPr>
        <w:t xml:space="preserve">executing </w:t>
      </w:r>
      <w:r w:rsidR="000F3E5A" w:rsidRPr="009B62AA">
        <w:rPr>
          <w:rFonts w:ascii="Garamond" w:eastAsia="Times New Roman" w:hAnsi="Garamond"/>
          <w:color w:val="FF0000"/>
          <w:sz w:val="24"/>
          <w:szCs w:val="24"/>
        </w:rPr>
        <w:t>any emergency responses, timely</w:t>
      </w:r>
      <w:r w:rsidR="00D944A2" w:rsidRPr="009B62AA">
        <w:rPr>
          <w:rFonts w:ascii="Garamond" w:eastAsia="Times New Roman" w:hAnsi="Garamond"/>
          <w:color w:val="FF0000"/>
          <w:sz w:val="24"/>
          <w:szCs w:val="24"/>
        </w:rPr>
        <w:t xml:space="preserve"> and </w:t>
      </w:r>
      <w:r w:rsidR="009B62AA" w:rsidRPr="009B62AA">
        <w:rPr>
          <w:rFonts w:ascii="Garamond" w:eastAsia="Times New Roman" w:hAnsi="Garamond"/>
          <w:color w:val="FF0000"/>
          <w:sz w:val="24"/>
          <w:szCs w:val="24"/>
        </w:rPr>
        <w:t>well-informed</w:t>
      </w:r>
      <w:r w:rsidR="000F3E5A" w:rsidRPr="009B62AA">
        <w:rPr>
          <w:rFonts w:ascii="Garamond" w:eastAsia="Times New Roman" w:hAnsi="Garamond"/>
          <w:color w:val="FF0000"/>
          <w:sz w:val="24"/>
          <w:szCs w:val="24"/>
        </w:rPr>
        <w:t xml:space="preserve"> communication becomes more </w:t>
      </w:r>
      <w:r w:rsidR="00BB4AA9" w:rsidRPr="009B62AA">
        <w:rPr>
          <w:rFonts w:ascii="Garamond" w:eastAsia="Times New Roman" w:hAnsi="Garamond"/>
          <w:color w:val="FF0000"/>
          <w:sz w:val="24"/>
          <w:szCs w:val="24"/>
        </w:rPr>
        <w:t xml:space="preserve">critical.  </w:t>
      </w:r>
    </w:p>
    <w:p w14:paraId="28A35DC8" w14:textId="5898A461" w:rsidR="00887EEC" w:rsidRPr="00D27CF3" w:rsidRDefault="00E91740" w:rsidP="00C115EF">
      <w:pPr>
        <w:pStyle w:val="ListParagraph"/>
        <w:numPr>
          <w:ilvl w:val="0"/>
          <w:numId w:val="11"/>
        </w:numPr>
        <w:spacing w:after="0"/>
        <w:ind w:left="360"/>
        <w:contextualSpacing w:val="0"/>
        <w:rPr>
          <w:rFonts w:ascii="Garamond" w:eastAsia="Times New Roman" w:hAnsi="Garamond"/>
          <w:sz w:val="24"/>
          <w:szCs w:val="24"/>
        </w:rPr>
      </w:pPr>
      <w:r w:rsidRPr="00D27CF3">
        <w:rPr>
          <w:rFonts w:ascii="Garamond" w:eastAsia="Times New Roman" w:hAnsi="Garamond"/>
          <w:sz w:val="24"/>
          <w:szCs w:val="24"/>
        </w:rPr>
        <w:t>With shared weather mapping</w:t>
      </w:r>
      <w:r w:rsidR="00AA69C5" w:rsidRPr="00D27CF3">
        <w:rPr>
          <w:rFonts w:ascii="Garamond" w:eastAsia="Times New Roman" w:hAnsi="Garamond"/>
          <w:sz w:val="24"/>
          <w:szCs w:val="24"/>
        </w:rPr>
        <w:t xml:space="preserve"> information</w:t>
      </w:r>
      <w:r w:rsidRPr="00D27CF3">
        <w:rPr>
          <w:rFonts w:ascii="Garamond" w:eastAsia="Times New Roman" w:hAnsi="Garamond"/>
          <w:sz w:val="24"/>
          <w:szCs w:val="24"/>
        </w:rPr>
        <w:t>, l</w:t>
      </w:r>
      <w:r w:rsidR="00887EEC" w:rsidRPr="00D27CF3">
        <w:rPr>
          <w:rFonts w:ascii="Garamond" w:eastAsia="Times New Roman" w:hAnsi="Garamond"/>
          <w:sz w:val="24"/>
          <w:szCs w:val="24"/>
        </w:rPr>
        <w:t xml:space="preserve">ocal city and county governments </w:t>
      </w:r>
      <w:r w:rsidRPr="00D27CF3">
        <w:rPr>
          <w:rFonts w:ascii="Garamond" w:eastAsia="Times New Roman" w:hAnsi="Garamond"/>
          <w:sz w:val="24"/>
          <w:szCs w:val="24"/>
        </w:rPr>
        <w:t xml:space="preserve">can help </w:t>
      </w:r>
      <w:r w:rsidR="00887EEC" w:rsidRPr="00D27CF3">
        <w:rPr>
          <w:rFonts w:ascii="Garamond" w:eastAsia="Times New Roman" w:hAnsi="Garamond"/>
          <w:sz w:val="24"/>
          <w:szCs w:val="24"/>
        </w:rPr>
        <w:t>situate</w:t>
      </w:r>
      <w:r w:rsidR="00DB016C" w:rsidRPr="00D27CF3">
        <w:rPr>
          <w:rFonts w:ascii="Garamond" w:eastAsia="Times New Roman" w:hAnsi="Garamond"/>
          <w:sz w:val="24"/>
          <w:szCs w:val="24"/>
        </w:rPr>
        <w:t xml:space="preserve"> accessible</w:t>
      </w:r>
      <w:r w:rsidR="00887EEC" w:rsidRPr="00D27CF3">
        <w:rPr>
          <w:rFonts w:ascii="Garamond" w:eastAsia="Times New Roman" w:hAnsi="Garamond"/>
          <w:sz w:val="24"/>
          <w:szCs w:val="24"/>
        </w:rPr>
        <w:t xml:space="preserve"> Community Resource Centers</w:t>
      </w:r>
      <w:r w:rsidR="000606A9" w:rsidRPr="00D27CF3">
        <w:rPr>
          <w:rFonts w:ascii="Garamond" w:eastAsia="Times New Roman" w:hAnsi="Garamond"/>
          <w:sz w:val="24"/>
          <w:szCs w:val="24"/>
        </w:rPr>
        <w:t>,</w:t>
      </w:r>
      <w:r w:rsidR="00887EEC" w:rsidRPr="00D27CF3">
        <w:rPr>
          <w:rFonts w:ascii="Garamond" w:eastAsia="Times New Roman" w:hAnsi="Garamond"/>
          <w:sz w:val="24"/>
          <w:szCs w:val="24"/>
        </w:rPr>
        <w:t xml:space="preserve"> where first responder resources can be deployed</w:t>
      </w:r>
      <w:r w:rsidR="00D50F32">
        <w:rPr>
          <w:rFonts w:ascii="Garamond" w:eastAsia="Times New Roman" w:hAnsi="Garamond"/>
          <w:sz w:val="24"/>
          <w:szCs w:val="24"/>
        </w:rPr>
        <w:t>.  L</w:t>
      </w:r>
      <w:r w:rsidR="00D50F32" w:rsidRPr="00D27CF3" w:rsidDel="00D62194">
        <w:rPr>
          <w:rFonts w:ascii="Garamond" w:eastAsia="Times New Roman" w:hAnsi="Garamond"/>
          <w:sz w:val="24"/>
          <w:szCs w:val="24"/>
        </w:rPr>
        <w:t xml:space="preserve">ocal </w:t>
      </w:r>
      <w:r w:rsidR="00887EEC" w:rsidRPr="00D27CF3" w:rsidDel="00D62194">
        <w:rPr>
          <w:rFonts w:ascii="Garamond" w:eastAsia="Times New Roman" w:hAnsi="Garamond"/>
          <w:sz w:val="24"/>
          <w:szCs w:val="24"/>
        </w:rPr>
        <w:t xml:space="preserve">governmental agencies can plan how and where to deploy resources. </w:t>
      </w:r>
    </w:p>
    <w:p w14:paraId="1E518398" w14:textId="77777777" w:rsidR="00887EEC" w:rsidRPr="00D27CF3" w:rsidRDefault="00887EEC" w:rsidP="00C115EF">
      <w:pPr>
        <w:pStyle w:val="ListParagraph"/>
        <w:spacing w:after="0"/>
        <w:contextualSpacing w:val="0"/>
        <w:rPr>
          <w:rFonts w:ascii="Garamond" w:eastAsia="Times New Roman" w:hAnsi="Garamond"/>
          <w:sz w:val="24"/>
          <w:szCs w:val="24"/>
        </w:rPr>
      </w:pPr>
    </w:p>
    <w:p w14:paraId="38323210" w14:textId="77777777" w:rsidR="00887EEC" w:rsidRPr="00D27CF3" w:rsidRDefault="00887EEC" w:rsidP="00C115EF">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78B77377" w14:textId="1E6592D7" w:rsidR="00887EEC" w:rsidRPr="00D27CF3" w:rsidRDefault="009F0F07" w:rsidP="00C115EF">
      <w:pPr>
        <w:pStyle w:val="ListParagraph"/>
        <w:numPr>
          <w:ilvl w:val="0"/>
          <w:numId w:val="15"/>
        </w:numPr>
        <w:contextualSpacing w:val="0"/>
        <w:rPr>
          <w:rFonts w:ascii="Garamond" w:eastAsia="Times New Roman" w:hAnsi="Garamond"/>
          <w:sz w:val="24"/>
          <w:szCs w:val="24"/>
        </w:rPr>
      </w:pPr>
      <w:r w:rsidRPr="00D27CF3">
        <w:rPr>
          <w:rFonts w:ascii="Garamond" w:eastAsia="Times New Roman" w:hAnsi="Garamond"/>
          <w:sz w:val="24"/>
          <w:szCs w:val="24"/>
        </w:rPr>
        <w:t>An</w:t>
      </w:r>
      <w:r w:rsidR="00887EEC" w:rsidRPr="00D27CF3">
        <w:rPr>
          <w:rFonts w:ascii="Garamond" w:eastAsia="Times New Roman" w:hAnsi="Garamond"/>
          <w:sz w:val="24"/>
          <w:szCs w:val="24"/>
        </w:rPr>
        <w:t xml:space="preserve"> online emergency</w:t>
      </w:r>
      <w:r w:rsidRPr="00D27CF3">
        <w:rPr>
          <w:rFonts w:ascii="Garamond" w:eastAsia="Times New Roman" w:hAnsi="Garamond"/>
          <w:sz w:val="24"/>
          <w:szCs w:val="24"/>
        </w:rPr>
        <w:t xml:space="preserve"> contact </w:t>
      </w:r>
      <w:r w:rsidR="00926DF1" w:rsidRPr="00D27CF3">
        <w:rPr>
          <w:rFonts w:ascii="Garamond" w:eastAsia="Times New Roman" w:hAnsi="Garamond"/>
          <w:sz w:val="24"/>
          <w:szCs w:val="24"/>
        </w:rPr>
        <w:t xml:space="preserve">list </w:t>
      </w:r>
      <w:r w:rsidR="00BD0B7A" w:rsidRPr="00D27CF3">
        <w:rPr>
          <w:rFonts w:ascii="Garamond" w:eastAsia="Times New Roman" w:hAnsi="Garamond"/>
          <w:sz w:val="24"/>
          <w:szCs w:val="24"/>
        </w:rPr>
        <w:t xml:space="preserve">with </w:t>
      </w:r>
      <w:r w:rsidRPr="00D27CF3">
        <w:rPr>
          <w:rFonts w:ascii="Garamond" w:eastAsia="Times New Roman" w:hAnsi="Garamond"/>
          <w:sz w:val="24"/>
          <w:szCs w:val="24"/>
        </w:rPr>
        <w:t>l</w:t>
      </w:r>
      <w:r w:rsidR="00BD0B7A" w:rsidRPr="00D27CF3">
        <w:rPr>
          <w:rFonts w:ascii="Garamond" w:eastAsia="Times New Roman" w:hAnsi="Garamond"/>
          <w:sz w:val="24"/>
          <w:szCs w:val="24"/>
        </w:rPr>
        <w:t>o</w:t>
      </w:r>
      <w:r w:rsidR="00453BD8" w:rsidRPr="00D27CF3">
        <w:rPr>
          <w:rFonts w:ascii="Garamond" w:eastAsia="Times New Roman" w:hAnsi="Garamond"/>
          <w:sz w:val="24"/>
          <w:szCs w:val="24"/>
        </w:rPr>
        <w:t xml:space="preserve">cal government </w:t>
      </w:r>
      <w:r w:rsidRPr="00D27CF3">
        <w:rPr>
          <w:rFonts w:ascii="Garamond" w:eastAsia="Times New Roman" w:hAnsi="Garamond"/>
          <w:sz w:val="24"/>
          <w:szCs w:val="24"/>
        </w:rPr>
        <w:t>liaisons</w:t>
      </w:r>
      <w:r w:rsidR="00887EEC" w:rsidRPr="00D27CF3">
        <w:rPr>
          <w:rFonts w:ascii="Garamond" w:eastAsia="Times New Roman" w:hAnsi="Garamond"/>
          <w:sz w:val="24"/>
          <w:szCs w:val="24"/>
        </w:rPr>
        <w:t xml:space="preserve"> </w:t>
      </w:r>
      <w:r w:rsidR="00926DF1" w:rsidRPr="00D27CF3">
        <w:rPr>
          <w:rFonts w:ascii="Garamond" w:eastAsia="Times New Roman" w:hAnsi="Garamond"/>
          <w:sz w:val="24"/>
          <w:szCs w:val="24"/>
        </w:rPr>
        <w:t xml:space="preserve">ought to be developed </w:t>
      </w:r>
      <w:r w:rsidR="00887EEC" w:rsidRPr="00D27CF3">
        <w:rPr>
          <w:rFonts w:ascii="Garamond" w:eastAsia="Times New Roman" w:hAnsi="Garamond"/>
          <w:sz w:val="24"/>
          <w:szCs w:val="24"/>
        </w:rPr>
        <w:t xml:space="preserve">for each wildfire mitigation territory.  The </w:t>
      </w:r>
      <w:r w:rsidR="00926DF1" w:rsidRPr="00D27CF3">
        <w:rPr>
          <w:rFonts w:ascii="Garamond" w:eastAsia="Times New Roman" w:hAnsi="Garamond"/>
          <w:sz w:val="24"/>
          <w:szCs w:val="24"/>
        </w:rPr>
        <w:t xml:space="preserve">website </w:t>
      </w:r>
      <w:r w:rsidR="00E43D15" w:rsidRPr="00D27CF3">
        <w:rPr>
          <w:rFonts w:ascii="Garamond" w:eastAsia="Times New Roman" w:hAnsi="Garamond"/>
          <w:sz w:val="24"/>
          <w:szCs w:val="24"/>
        </w:rPr>
        <w:t xml:space="preserve">developer’s contact </w:t>
      </w:r>
      <w:r w:rsidR="00887EEC" w:rsidRPr="00D27CF3">
        <w:rPr>
          <w:rFonts w:ascii="Garamond" w:eastAsia="Times New Roman" w:hAnsi="Garamond"/>
          <w:sz w:val="24"/>
          <w:szCs w:val="24"/>
        </w:rPr>
        <w:t xml:space="preserve">information </w:t>
      </w:r>
      <w:r w:rsidR="00B251B0">
        <w:rPr>
          <w:rFonts w:ascii="Garamond" w:eastAsia="Times New Roman" w:hAnsi="Garamond"/>
          <w:sz w:val="24"/>
          <w:szCs w:val="24"/>
        </w:rPr>
        <w:t>should</w:t>
      </w:r>
      <w:r w:rsidR="00887EEC" w:rsidRPr="00D27CF3">
        <w:rPr>
          <w:rFonts w:ascii="Garamond" w:eastAsia="Times New Roman" w:hAnsi="Garamond"/>
          <w:sz w:val="24"/>
          <w:szCs w:val="24"/>
        </w:rPr>
        <w:t xml:space="preserve"> </w:t>
      </w:r>
      <w:r w:rsidR="00E43D15" w:rsidRPr="00D27CF3">
        <w:rPr>
          <w:rFonts w:ascii="Garamond" w:eastAsia="Times New Roman" w:hAnsi="Garamond"/>
          <w:sz w:val="24"/>
          <w:szCs w:val="24"/>
        </w:rPr>
        <w:t xml:space="preserve">also </w:t>
      </w:r>
      <w:r w:rsidR="00887EEC" w:rsidRPr="00D27CF3">
        <w:rPr>
          <w:rFonts w:ascii="Garamond" w:eastAsia="Times New Roman" w:hAnsi="Garamond"/>
          <w:sz w:val="24"/>
          <w:szCs w:val="24"/>
        </w:rPr>
        <w:t xml:space="preserve">be </w:t>
      </w:r>
      <w:r w:rsidR="00E43D15" w:rsidRPr="00D27CF3">
        <w:rPr>
          <w:rFonts w:ascii="Garamond" w:eastAsia="Times New Roman" w:hAnsi="Garamond"/>
          <w:sz w:val="24"/>
          <w:szCs w:val="24"/>
        </w:rPr>
        <w:t xml:space="preserve">easily accessible so that </w:t>
      </w:r>
      <w:r w:rsidR="00887EEC" w:rsidRPr="00D27CF3">
        <w:rPr>
          <w:rFonts w:ascii="Garamond" w:eastAsia="Times New Roman" w:hAnsi="Garamond"/>
          <w:sz w:val="24"/>
          <w:szCs w:val="24"/>
        </w:rPr>
        <w:t>local city and county governments agencies can submit the</w:t>
      </w:r>
      <w:r w:rsidR="008D0789" w:rsidRPr="00D27CF3">
        <w:rPr>
          <w:rFonts w:ascii="Garamond" w:eastAsia="Times New Roman" w:hAnsi="Garamond"/>
          <w:sz w:val="24"/>
          <w:szCs w:val="24"/>
        </w:rPr>
        <w:t>ir</w:t>
      </w:r>
      <w:r w:rsidR="00887EEC" w:rsidRPr="00D27CF3">
        <w:rPr>
          <w:rFonts w:ascii="Garamond" w:eastAsia="Times New Roman" w:hAnsi="Garamond"/>
          <w:sz w:val="24"/>
          <w:szCs w:val="24"/>
        </w:rPr>
        <w:t xml:space="preserve"> most updated contact information.  This contact information and protocol </w:t>
      </w:r>
      <w:r w:rsidR="008D0789" w:rsidRPr="00D27CF3">
        <w:rPr>
          <w:rFonts w:ascii="Garamond" w:eastAsia="Times New Roman" w:hAnsi="Garamond"/>
          <w:sz w:val="24"/>
          <w:szCs w:val="24"/>
        </w:rPr>
        <w:t xml:space="preserve">ought </w:t>
      </w:r>
      <w:r w:rsidR="00887EEC" w:rsidRPr="00D27CF3">
        <w:rPr>
          <w:rFonts w:ascii="Garamond" w:eastAsia="Times New Roman" w:hAnsi="Garamond"/>
          <w:sz w:val="24"/>
          <w:szCs w:val="24"/>
        </w:rPr>
        <w:t xml:space="preserve">to be </w:t>
      </w:r>
      <w:r w:rsidR="00BD0B7A" w:rsidRPr="00D27CF3">
        <w:rPr>
          <w:rFonts w:ascii="Garamond" w:eastAsia="Times New Roman" w:hAnsi="Garamond"/>
          <w:sz w:val="24"/>
          <w:szCs w:val="24"/>
        </w:rPr>
        <w:t xml:space="preserve">easily accessible </w:t>
      </w:r>
      <w:r w:rsidR="00887EEC" w:rsidRPr="00D27CF3">
        <w:rPr>
          <w:rFonts w:ascii="Garamond" w:eastAsia="Times New Roman" w:hAnsi="Garamond"/>
          <w:sz w:val="24"/>
          <w:szCs w:val="24"/>
        </w:rPr>
        <w:t xml:space="preserve">in advance of any emergency situation. </w:t>
      </w:r>
    </w:p>
    <w:p w14:paraId="0C5B4112" w14:textId="4CFE89FB" w:rsidR="00887EEC" w:rsidRPr="00D27CF3" w:rsidRDefault="00887EEC" w:rsidP="00C115EF">
      <w:pPr>
        <w:rPr>
          <w:rFonts w:ascii="Garamond" w:eastAsia="Times New Roman" w:hAnsi="Garamond"/>
          <w:sz w:val="24"/>
          <w:szCs w:val="24"/>
        </w:rPr>
      </w:pPr>
    </w:p>
    <w:p w14:paraId="5C004E3B" w14:textId="12C6046E" w:rsidR="008459C1" w:rsidRPr="00D27CF3" w:rsidRDefault="00887EEC" w:rsidP="00C115EF">
      <w:pPr>
        <w:rPr>
          <w:rFonts w:ascii="Garamond" w:eastAsia="Times New Roman" w:hAnsi="Garamond"/>
          <w:sz w:val="24"/>
          <w:szCs w:val="24"/>
        </w:rPr>
      </w:pPr>
      <w:r w:rsidRPr="00D27CF3">
        <w:rPr>
          <w:rFonts w:ascii="Garamond" w:eastAsia="Times New Roman" w:hAnsi="Garamond"/>
          <w:sz w:val="24"/>
          <w:szCs w:val="24"/>
        </w:rPr>
        <w:br w:type="page"/>
      </w:r>
    </w:p>
    <w:p w14:paraId="67BEBCF2" w14:textId="3122D042" w:rsidR="005962B4" w:rsidRPr="00D27CF3" w:rsidRDefault="00B96937" w:rsidP="00C115EF">
      <w:pPr>
        <w:pStyle w:val="Heading1"/>
      </w:pPr>
      <w:bookmarkStart w:id="5" w:name="_Toc36750063"/>
      <w:r w:rsidRPr="00D27CF3">
        <w:t xml:space="preserve">3. </w:t>
      </w:r>
      <w:r w:rsidR="00D30955" w:rsidRPr="00D27CF3">
        <w:t>Shar</w:t>
      </w:r>
      <w:r w:rsidR="00E414F9" w:rsidRPr="00D27CF3">
        <w:t>ing</w:t>
      </w:r>
      <w:r w:rsidR="00D30955" w:rsidRPr="00D27CF3">
        <w:t xml:space="preserve"> </w:t>
      </w:r>
      <w:r w:rsidR="00B40244" w:rsidRPr="00D27CF3">
        <w:t>Developing</w:t>
      </w:r>
      <w:r w:rsidR="00D30955" w:rsidRPr="00D27CF3">
        <w:t xml:space="preserve"> </w:t>
      </w:r>
      <w:r w:rsidR="00B40244" w:rsidRPr="00D27CF3">
        <w:t>Science and Situational Awareness Data</w:t>
      </w:r>
      <w:bookmarkEnd w:id="5"/>
      <w:r w:rsidR="00B75C2C" w:rsidRPr="00D27CF3">
        <w:t xml:space="preserve"> </w:t>
      </w:r>
    </w:p>
    <w:p w14:paraId="4A722E1B" w14:textId="77777777" w:rsidR="00997EAC" w:rsidRPr="00997EAC" w:rsidRDefault="00997EAC" w:rsidP="00C115EF">
      <w:pPr>
        <w:spacing w:after="0"/>
        <w:rPr>
          <w:sz w:val="8"/>
          <w:szCs w:val="8"/>
        </w:rPr>
      </w:pP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8921BD" w14:paraId="0A64C3CB" w14:textId="77777777" w:rsidTr="008416BD">
        <w:trPr>
          <w:trHeight w:val="436"/>
          <w:jc w:val="center"/>
        </w:trPr>
        <w:tc>
          <w:tcPr>
            <w:tcW w:w="6480" w:type="dxa"/>
            <w:gridSpan w:val="2"/>
            <w:tcBorders>
              <w:bottom w:val="single" w:sz="12" w:space="0" w:color="8496B0" w:themeColor="text2" w:themeTint="99"/>
            </w:tcBorders>
            <w:shd w:val="clear" w:color="auto" w:fill="D9E2F3" w:themeFill="accent1" w:themeFillTint="33"/>
          </w:tcPr>
          <w:p w14:paraId="2807E295" w14:textId="77777777" w:rsidR="008921BD" w:rsidRPr="007C7BDA" w:rsidRDefault="008921BD" w:rsidP="00C115EF">
            <w:pPr>
              <w:spacing w:before="60"/>
              <w:ind w:left="432"/>
              <w:rPr>
                <w:rFonts w:ascii="Garamond" w:hAnsi="Garamond"/>
              </w:rPr>
            </w:pPr>
            <w:r w:rsidRPr="007C7BDA">
              <w:rPr>
                <w:b/>
                <w:bCs/>
                <w:noProof/>
              </w:rPr>
              <w:drawing>
                <wp:anchor distT="0" distB="0" distL="114300" distR="114300" simplePos="0" relativeHeight="251658246" behindDoc="0" locked="0" layoutInCell="1" allowOverlap="0" wp14:anchorId="1ED43FA2" wp14:editId="4F99E15F">
                  <wp:simplePos x="0" y="0"/>
                  <wp:positionH relativeFrom="leftMargin">
                    <wp:posOffset>59690</wp:posOffset>
                  </wp:positionH>
                  <wp:positionV relativeFrom="paragraph">
                    <wp:posOffset>5927</wp:posOffset>
                  </wp:positionV>
                  <wp:extent cx="246888" cy="246888"/>
                  <wp:effectExtent l="0" t="0" r="1270" b="1270"/>
                  <wp:wrapNone/>
                  <wp:docPr id="5" name="Graphic 5"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2016210454"/>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2066680107"/>
                <w14:checkbox>
                  <w14:checked w14:val="0"/>
                  <w14:checkedState w14:val="2612" w14:font="MS Gothic"/>
                  <w14:uncheckedState w14:val="2610" w14:font="MS Gothic"/>
                </w14:checkbox>
              </w:sdtPr>
              <w:sdtEndPr/>
              <w:sdtContent>
                <w:r w:rsidRPr="007C7BDA">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206763081"/>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103244022"/>
                <w14:checkbox>
                  <w14:checked w14:val="1"/>
                  <w14:checkedState w14:val="2612" w14:font="MS Gothic"/>
                  <w14:uncheckedState w14:val="2610" w14:font="MS Gothic"/>
                </w14:checkbox>
              </w:sdtPr>
              <w:sdtEndPr/>
              <w:sdtContent>
                <w:r w:rsidRPr="00D27CF3">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518C31F1" w14:textId="691E63D0" w:rsidR="008921BD" w:rsidRPr="007C7BDA" w:rsidRDefault="008921BD" w:rsidP="00C115EF">
            <w:pPr>
              <w:spacing w:before="60"/>
              <w:ind w:left="-15"/>
              <w:rPr>
                <w:rFonts w:ascii="Garamond" w:hAnsi="Garamond"/>
              </w:rPr>
            </w:pPr>
            <w:r>
              <w:rPr>
                <w:rFonts w:ascii="Garamond" w:hAnsi="Garamond"/>
              </w:rPr>
              <w:t xml:space="preserve">  </w:t>
            </w:r>
            <w:r w:rsidR="00076ED6">
              <w:rPr>
                <w:rFonts w:ascii="Garamond" w:hAnsi="Garamond"/>
                <w:noProof/>
              </w:rPr>
              <w:drawing>
                <wp:anchor distT="0" distB="0" distL="114300" distR="114300" simplePos="0" relativeHeight="251658270" behindDoc="0" locked="0" layoutInCell="1" allowOverlap="1" wp14:anchorId="4DE80026" wp14:editId="585A869F">
                  <wp:simplePos x="0" y="0"/>
                  <wp:positionH relativeFrom="column">
                    <wp:posOffset>-1905</wp:posOffset>
                  </wp:positionH>
                  <wp:positionV relativeFrom="paragraph">
                    <wp:posOffset>1905</wp:posOffset>
                  </wp:positionV>
                  <wp:extent cx="295275" cy="295275"/>
                  <wp:effectExtent l="0" t="0" r="0" b="0"/>
                  <wp:wrapNone/>
                  <wp:docPr id="11" name="Graphic 11"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E506AC">
              <w:rPr>
                <w:rFonts w:ascii="Garamond" w:hAnsi="Garamond"/>
              </w:rPr>
              <w:t>3</w:t>
            </w:r>
          </w:p>
        </w:tc>
      </w:tr>
      <w:tr w:rsidR="008921BD" w14:paraId="6C594443" w14:textId="77777777" w:rsidTr="008416BD">
        <w:trPr>
          <w:trHeight w:val="79"/>
          <w:jc w:val="center"/>
        </w:trPr>
        <w:tc>
          <w:tcPr>
            <w:tcW w:w="9630" w:type="dxa"/>
            <w:gridSpan w:val="3"/>
            <w:tcBorders>
              <w:left w:val="nil"/>
              <w:bottom w:val="single" w:sz="12" w:space="0" w:color="8496B0" w:themeColor="text2" w:themeTint="99"/>
              <w:right w:val="nil"/>
            </w:tcBorders>
          </w:tcPr>
          <w:p w14:paraId="56B80309" w14:textId="77777777" w:rsidR="008921BD" w:rsidRPr="00D27CF3" w:rsidRDefault="008921BD" w:rsidP="00855C71">
            <w:pPr>
              <w:rPr>
                <w:rFonts w:eastAsia="Times New Roman" w:cstheme="minorHAnsi"/>
                <w:sz w:val="8"/>
                <w:szCs w:val="8"/>
              </w:rPr>
            </w:pPr>
          </w:p>
        </w:tc>
      </w:tr>
      <w:tr w:rsidR="008921BD" w14:paraId="11162564" w14:textId="77777777" w:rsidTr="008416BD">
        <w:trPr>
          <w:trHeight w:val="285"/>
          <w:jc w:val="center"/>
        </w:trPr>
        <w:tc>
          <w:tcPr>
            <w:tcW w:w="9630" w:type="dxa"/>
            <w:gridSpan w:val="3"/>
            <w:tcBorders>
              <w:bottom w:val="nil"/>
            </w:tcBorders>
            <w:shd w:val="clear" w:color="auto" w:fill="D9E2F3" w:themeFill="accent1" w:themeFillTint="33"/>
          </w:tcPr>
          <w:p w14:paraId="379CAFEF" w14:textId="77777777" w:rsidR="008921BD" w:rsidRPr="00D27CF3" w:rsidRDefault="008921BD"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8921BD" w14:paraId="2427FBCE" w14:textId="77777777" w:rsidTr="008416BD">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19A51E55" w14:textId="77777777" w:rsidR="008921BD"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373363642"/>
                <w14:checkbox>
                  <w14:checked w14:val="0"/>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Vegetation management and inspections</w:t>
            </w:r>
          </w:p>
          <w:p w14:paraId="6E8974C6" w14:textId="77777777" w:rsidR="008921BD"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354150424"/>
                <w14:checkbox>
                  <w14:checked w14:val="0"/>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Grid design and system hardening</w:t>
            </w:r>
          </w:p>
          <w:p w14:paraId="2A51BE3A" w14:textId="77777777" w:rsidR="008921BD" w:rsidRPr="00D27CF3" w:rsidRDefault="008921BD"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1CFB78EF" w14:textId="77777777" w:rsidR="008921BD"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278528046"/>
                <w14:checkbox>
                  <w14:checked w14:val="1"/>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Resource allocation methodology incl. Risk Spend Efficiency</w:t>
            </w:r>
          </w:p>
          <w:p w14:paraId="765B35B3" w14:textId="77777777" w:rsidR="008921BD"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1080373290"/>
                <w14:checkbox>
                  <w14:checked w14:val="1"/>
                  <w14:checkedState w14:val="2612" w14:font="MS Gothic"/>
                  <w14:uncheckedState w14:val="2610" w14:font="MS Gothic"/>
                </w14:checkbox>
              </w:sdtPr>
              <w:sdtEndPr/>
              <w:sdtContent>
                <w:r w:rsidR="008921BD" w:rsidRPr="00D27CF3">
                  <w:rPr>
                    <w:rFonts w:ascii="MS Gothic" w:eastAsia="MS Gothic" w:hAnsi="MS Gothic" w:cs="Segoe UI Symbol" w:hint="eastAsia"/>
                    <w:sz w:val="20"/>
                    <w:szCs w:val="20"/>
                  </w:rPr>
                  <w:t>☒</w:t>
                </w:r>
              </w:sdtContent>
            </w:sdt>
            <w:r w:rsidR="008921BD" w:rsidRPr="00D27CF3">
              <w:rPr>
                <w:rFonts w:ascii="Garamond" w:eastAsia="Times New Roman" w:hAnsi="Garamond"/>
                <w:sz w:val="20"/>
                <w:szCs w:val="20"/>
              </w:rPr>
              <w:t xml:space="preserve"> Communication with the community, planning, preparedness and recovery after PSPS events</w:t>
            </w:r>
          </w:p>
        </w:tc>
      </w:tr>
      <w:tr w:rsidR="008921BD" w14:paraId="219905B7" w14:textId="77777777" w:rsidTr="008416BD">
        <w:trPr>
          <w:trHeight w:val="43"/>
          <w:jc w:val="center"/>
        </w:trPr>
        <w:tc>
          <w:tcPr>
            <w:tcW w:w="9630" w:type="dxa"/>
            <w:gridSpan w:val="3"/>
            <w:tcBorders>
              <w:left w:val="nil"/>
              <w:bottom w:val="single" w:sz="12" w:space="0" w:color="8496B0" w:themeColor="text2" w:themeTint="99"/>
              <w:right w:val="nil"/>
            </w:tcBorders>
          </w:tcPr>
          <w:p w14:paraId="2CF3D758" w14:textId="77777777" w:rsidR="008921BD" w:rsidRPr="00D27CF3" w:rsidRDefault="008921BD" w:rsidP="00855C71">
            <w:pPr>
              <w:spacing w:line="276" w:lineRule="auto"/>
              <w:rPr>
                <w:rFonts w:eastAsia="Times New Roman" w:cstheme="minorHAnsi"/>
                <w:sz w:val="8"/>
                <w:szCs w:val="8"/>
              </w:rPr>
            </w:pPr>
          </w:p>
        </w:tc>
      </w:tr>
      <w:tr w:rsidR="008921BD" w14:paraId="048A9DC8" w14:textId="77777777" w:rsidTr="008416BD">
        <w:trPr>
          <w:trHeight w:val="43"/>
          <w:jc w:val="center"/>
        </w:trPr>
        <w:tc>
          <w:tcPr>
            <w:tcW w:w="9630" w:type="dxa"/>
            <w:gridSpan w:val="3"/>
            <w:tcBorders>
              <w:bottom w:val="nil"/>
            </w:tcBorders>
            <w:shd w:val="clear" w:color="auto" w:fill="D9E2F3" w:themeFill="accent1" w:themeFillTint="33"/>
          </w:tcPr>
          <w:p w14:paraId="067D008C" w14:textId="77777777" w:rsidR="008921BD" w:rsidRPr="007C7BDA" w:rsidRDefault="008921BD"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8921BD" w14:paraId="607CD792" w14:textId="77777777" w:rsidTr="008416BD">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54D3A77E" w14:textId="77777777" w:rsidR="008921BD"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691753028"/>
                <w14:checkbox>
                  <w14:checked w14:val="1"/>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Risk assessment and mapping</w:t>
            </w:r>
          </w:p>
          <w:p w14:paraId="56CD828F" w14:textId="77777777" w:rsidR="008921BD"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095696132"/>
                <w14:checkbox>
                  <w14:checked w14:val="1"/>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Situational awareness and forecasting</w:t>
            </w:r>
          </w:p>
          <w:p w14:paraId="25169678" w14:textId="77777777" w:rsidR="008921BD"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86413465"/>
                <w14:checkbox>
                  <w14:checked w14:val="0"/>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Grid design and system hardening</w:t>
            </w:r>
          </w:p>
          <w:p w14:paraId="6E97505C" w14:textId="77777777" w:rsidR="008921BD"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339429422"/>
                <w14:checkbox>
                  <w14:checked w14:val="0"/>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Asset management and inspections</w:t>
            </w:r>
          </w:p>
          <w:p w14:paraId="3DF2C04D" w14:textId="77777777" w:rsidR="008921BD"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285965604"/>
                <w14:checkbox>
                  <w14:checked w14:val="0"/>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24C80C96" w14:textId="77777777" w:rsidR="008921BD"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656655668"/>
                <w14:checkbox>
                  <w14:checked w14:val="0"/>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Grid operations and protocols</w:t>
            </w:r>
          </w:p>
          <w:p w14:paraId="29979C54" w14:textId="77777777" w:rsidR="008921BD"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860197286"/>
                <w14:checkbox>
                  <w14:checked w14:val="1"/>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Data governance</w:t>
            </w:r>
          </w:p>
          <w:p w14:paraId="38550115" w14:textId="77777777" w:rsidR="008921BD"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703631339"/>
                <w14:checkbox>
                  <w14:checked w14:val="0"/>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Resource allocation methodology</w:t>
            </w:r>
          </w:p>
          <w:p w14:paraId="30174FCE" w14:textId="77777777" w:rsidR="008921BD"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611707200"/>
                <w14:checkbox>
                  <w14:checked w14:val="1"/>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Emergency planning and preparedness</w:t>
            </w:r>
          </w:p>
          <w:p w14:paraId="095D6F20" w14:textId="77777777" w:rsidR="008921BD" w:rsidRPr="009D23C5" w:rsidRDefault="00E20D41" w:rsidP="00C115EF">
            <w:pPr>
              <w:spacing w:before="60" w:line="276" w:lineRule="auto"/>
              <w:ind w:left="360"/>
              <w:rPr>
                <w:rFonts w:ascii="Garamond" w:hAnsi="Garamond"/>
                <w:b/>
                <w:bCs/>
                <w:sz w:val="20"/>
                <w:szCs w:val="20"/>
              </w:rPr>
            </w:pPr>
            <w:sdt>
              <w:sdtPr>
                <w:rPr>
                  <w:rFonts w:ascii="Garamond" w:eastAsia="Times New Roman" w:hAnsi="Garamond"/>
                  <w:sz w:val="20"/>
                  <w:szCs w:val="20"/>
                </w:rPr>
                <w:id w:val="-1632233639"/>
                <w14:checkbox>
                  <w14:checked w14:val="1"/>
                  <w14:checkedState w14:val="2612" w14:font="MS Gothic"/>
                  <w14:uncheckedState w14:val="2610" w14:font="MS Gothic"/>
                </w14:checkbox>
              </w:sdtPr>
              <w:sdtEndPr/>
              <w:sdtContent>
                <w:r w:rsidR="008921BD" w:rsidRPr="00D27CF3">
                  <w:rPr>
                    <w:rFonts w:ascii="MS Gothic" w:eastAsia="MS Gothic" w:hAnsi="MS Gothic" w:hint="eastAsia"/>
                    <w:sz w:val="20"/>
                    <w:szCs w:val="20"/>
                  </w:rPr>
                  <w:t>☒</w:t>
                </w:r>
              </w:sdtContent>
            </w:sdt>
            <w:r w:rsidR="008921BD" w:rsidRPr="00D27CF3">
              <w:rPr>
                <w:rFonts w:ascii="Garamond" w:eastAsia="Times New Roman" w:hAnsi="Garamond"/>
                <w:sz w:val="20"/>
                <w:szCs w:val="20"/>
              </w:rPr>
              <w:t xml:space="preserve">  Stakeholder cooperation and community engagement</w:t>
            </w:r>
          </w:p>
        </w:tc>
      </w:tr>
      <w:tr w:rsidR="008921BD" w14:paraId="746CE74E" w14:textId="77777777" w:rsidTr="008416BD">
        <w:trPr>
          <w:trHeight w:val="51"/>
          <w:jc w:val="center"/>
        </w:trPr>
        <w:tc>
          <w:tcPr>
            <w:tcW w:w="9630" w:type="dxa"/>
            <w:gridSpan w:val="3"/>
            <w:tcBorders>
              <w:left w:val="nil"/>
              <w:right w:val="nil"/>
            </w:tcBorders>
          </w:tcPr>
          <w:p w14:paraId="3066D7AD" w14:textId="77777777" w:rsidR="008921BD" w:rsidRPr="007D218D" w:rsidRDefault="008921BD" w:rsidP="00855C71">
            <w:pPr>
              <w:rPr>
                <w:rFonts w:cstheme="minorHAnsi"/>
                <w:sz w:val="8"/>
                <w:szCs w:val="8"/>
              </w:rPr>
            </w:pPr>
          </w:p>
        </w:tc>
      </w:tr>
      <w:tr w:rsidR="008921BD" w14:paraId="42E1B5F0" w14:textId="77777777" w:rsidTr="008416BD">
        <w:trPr>
          <w:trHeight w:val="489"/>
          <w:jc w:val="center"/>
        </w:trPr>
        <w:tc>
          <w:tcPr>
            <w:tcW w:w="9630" w:type="dxa"/>
            <w:gridSpan w:val="3"/>
            <w:shd w:val="clear" w:color="auto" w:fill="D9E2F3" w:themeFill="accent1" w:themeFillTint="33"/>
          </w:tcPr>
          <w:p w14:paraId="10F284EA" w14:textId="77777777" w:rsidR="008921BD" w:rsidRPr="00D95954" w:rsidRDefault="008921BD"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45" behindDoc="0" locked="0" layoutInCell="1" allowOverlap="1" wp14:anchorId="5D67EA34" wp14:editId="7690ADEB">
                  <wp:simplePos x="0" y="0"/>
                  <wp:positionH relativeFrom="leftMargin">
                    <wp:posOffset>59690</wp:posOffset>
                  </wp:positionH>
                  <wp:positionV relativeFrom="paragraph">
                    <wp:posOffset>37677</wp:posOffset>
                  </wp:positionV>
                  <wp:extent cx="245534" cy="194627"/>
                  <wp:effectExtent l="0" t="0" r="0" b="0"/>
                  <wp:wrapNone/>
                  <wp:docPr id="6" name="Graphic 6"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13341258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113857211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36051299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Mid Term </w:t>
            </w:r>
            <w:r>
              <w:rPr>
                <w:rFonts w:ascii="Garamond" w:hAnsi="Garamond"/>
              </w:rPr>
              <w:t xml:space="preserve">    </w:t>
            </w:r>
            <w:sdt>
              <w:sdtPr>
                <w:rPr>
                  <w:rFonts w:ascii="Garamond" w:hAnsi="Garamond"/>
                </w:rPr>
                <w:id w:val="-122158462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tbl>
    <w:p w14:paraId="680D831D" w14:textId="77777777" w:rsidR="008921BD" w:rsidRDefault="008921BD" w:rsidP="00855C71">
      <w:pPr>
        <w:spacing w:after="0"/>
        <w:rPr>
          <w:rFonts w:ascii="Century Gothic" w:hAnsi="Century Gothic"/>
        </w:rPr>
      </w:pPr>
    </w:p>
    <w:p w14:paraId="37F687F0" w14:textId="77777777" w:rsidR="00C272FE" w:rsidRDefault="00C272FE" w:rsidP="00855C71">
      <w:pPr>
        <w:rPr>
          <w:rFonts w:ascii="Century Gothic" w:hAnsi="Century Gothic"/>
        </w:rPr>
      </w:pPr>
      <w:r>
        <w:rPr>
          <w:rFonts w:ascii="Century Gothic" w:hAnsi="Century Gothic"/>
        </w:rPr>
        <w:t>Issue/Metric:</w:t>
      </w:r>
    </w:p>
    <w:p w14:paraId="5C1FFABC" w14:textId="38433A0D" w:rsidR="002E3C5C" w:rsidRPr="00D27CF3" w:rsidRDefault="002235D2" w:rsidP="00C115EF">
      <w:pPr>
        <w:pStyle w:val="ListParagraph"/>
        <w:numPr>
          <w:ilvl w:val="0"/>
          <w:numId w:val="12"/>
        </w:numPr>
        <w:spacing w:after="0"/>
        <w:contextualSpacing w:val="0"/>
        <w:textAlignment w:val="baseline"/>
        <w:rPr>
          <w:rFonts w:ascii="Garamond" w:eastAsia="Times New Roman" w:hAnsi="Garamond"/>
          <w:sz w:val="24"/>
          <w:szCs w:val="24"/>
        </w:rPr>
      </w:pPr>
      <w:r w:rsidRPr="00D27CF3">
        <w:rPr>
          <w:rFonts w:ascii="Garamond" w:eastAsia="Times New Roman" w:hAnsi="Garamond"/>
          <w:sz w:val="24"/>
          <w:szCs w:val="24"/>
        </w:rPr>
        <w:t>Public a</w:t>
      </w:r>
      <w:r w:rsidR="002E3C5C" w:rsidRPr="00D27CF3">
        <w:rPr>
          <w:rFonts w:ascii="Garamond" w:eastAsia="Times New Roman" w:hAnsi="Garamond"/>
          <w:sz w:val="24"/>
          <w:szCs w:val="24"/>
        </w:rPr>
        <w:t xml:space="preserve">ccess to </w:t>
      </w:r>
      <w:r w:rsidR="00583934" w:rsidRPr="00D27CF3">
        <w:rPr>
          <w:rFonts w:ascii="Garamond" w:eastAsia="Times New Roman" w:hAnsi="Garamond"/>
          <w:sz w:val="24"/>
          <w:szCs w:val="24"/>
        </w:rPr>
        <w:t>utility situation</w:t>
      </w:r>
      <w:r w:rsidR="00F50D5D" w:rsidRPr="00D27CF3">
        <w:rPr>
          <w:rFonts w:ascii="Garamond" w:eastAsia="Times New Roman" w:hAnsi="Garamond"/>
          <w:sz w:val="24"/>
          <w:szCs w:val="24"/>
        </w:rPr>
        <w:t>al awareness data</w:t>
      </w:r>
      <w:r w:rsidR="00787CB1">
        <w:rPr>
          <w:rFonts w:ascii="Garamond" w:eastAsia="Times New Roman" w:hAnsi="Garamond"/>
          <w:sz w:val="24"/>
          <w:szCs w:val="24"/>
        </w:rPr>
        <w:t xml:space="preserve"> and</w:t>
      </w:r>
      <w:r w:rsidR="00F50D5D" w:rsidRPr="00D27CF3">
        <w:rPr>
          <w:rFonts w:ascii="Garamond" w:eastAsia="Times New Roman" w:hAnsi="Garamond"/>
          <w:sz w:val="24"/>
          <w:szCs w:val="24"/>
        </w:rPr>
        <w:t xml:space="preserve"> to </w:t>
      </w:r>
      <w:r w:rsidR="002E3C5C" w:rsidRPr="00D27CF3">
        <w:rPr>
          <w:rFonts w:ascii="Garamond" w:eastAsia="Times New Roman" w:hAnsi="Garamond"/>
          <w:sz w:val="24"/>
          <w:szCs w:val="24"/>
        </w:rPr>
        <w:t>developing</w:t>
      </w:r>
      <w:r w:rsidR="0010779B" w:rsidRPr="00D27CF3">
        <w:rPr>
          <w:rFonts w:ascii="Garamond" w:eastAsia="Times New Roman" w:hAnsi="Garamond"/>
          <w:sz w:val="24"/>
          <w:szCs w:val="24"/>
        </w:rPr>
        <w:t xml:space="preserve"> fire and weather forecasting methodologies</w:t>
      </w:r>
      <w:r w:rsidR="002E3C5C" w:rsidRPr="00D27CF3">
        <w:rPr>
          <w:rFonts w:ascii="Garamond" w:eastAsia="Times New Roman" w:hAnsi="Garamond"/>
          <w:sz w:val="24"/>
          <w:szCs w:val="24"/>
        </w:rPr>
        <w:t xml:space="preserve">. </w:t>
      </w:r>
    </w:p>
    <w:p w14:paraId="339A3969" w14:textId="77777777" w:rsidR="00C272FE" w:rsidRDefault="00C272FE" w:rsidP="00855C71">
      <w:pPr>
        <w:spacing w:after="0"/>
        <w:rPr>
          <w:rFonts w:ascii="Century Gothic" w:hAnsi="Century Gothic"/>
        </w:rPr>
      </w:pPr>
    </w:p>
    <w:p w14:paraId="3E994E48" w14:textId="77777777" w:rsidR="00C272FE" w:rsidRDefault="00C272FE" w:rsidP="00855C71">
      <w:pPr>
        <w:rPr>
          <w:rFonts w:ascii="Century Gothic" w:hAnsi="Century Gothic"/>
        </w:rPr>
      </w:pPr>
      <w:r>
        <w:rPr>
          <w:rFonts w:ascii="Century Gothic" w:hAnsi="Century Gothic"/>
        </w:rPr>
        <w:t>Current WMP Requirement:</w:t>
      </w:r>
    </w:p>
    <w:p w14:paraId="1A5CF188" w14:textId="55A2E182" w:rsidR="00C272FE" w:rsidRPr="00D27CF3" w:rsidRDefault="00C272FE" w:rsidP="00C115EF">
      <w:pPr>
        <w:pStyle w:val="ListParagraph"/>
        <w:numPr>
          <w:ilvl w:val="0"/>
          <w:numId w:val="13"/>
        </w:numPr>
        <w:contextualSpacing w:val="0"/>
        <w:rPr>
          <w:rFonts w:ascii="Century Gothic" w:eastAsia="Times New Roman" w:hAnsi="Century Gothic"/>
          <w:sz w:val="24"/>
          <w:szCs w:val="24"/>
        </w:rPr>
      </w:pPr>
      <w:r w:rsidRPr="00D27CF3">
        <w:rPr>
          <w:rFonts w:ascii="Garamond" w:eastAsia="Times New Roman" w:hAnsi="Garamond"/>
          <w:sz w:val="24"/>
          <w:szCs w:val="24"/>
        </w:rPr>
        <w:t xml:space="preserve">Under Section 5.3.2. of the </w:t>
      </w:r>
      <w:r w:rsidR="008911CE">
        <w:rPr>
          <w:rFonts w:ascii="Garamond" w:eastAsia="Times New Roman" w:hAnsi="Garamond"/>
          <w:sz w:val="24"/>
          <w:szCs w:val="24"/>
        </w:rPr>
        <w:t xml:space="preserve">2020 </w:t>
      </w:r>
      <w:r w:rsidRPr="00D27CF3">
        <w:rPr>
          <w:rFonts w:ascii="Garamond" w:eastAsia="Times New Roman" w:hAnsi="Garamond"/>
          <w:sz w:val="24"/>
          <w:szCs w:val="24"/>
        </w:rPr>
        <w:t xml:space="preserve">WMP Guidelines, the utilities must describe the situational awareness and forecasting programs and initiatives to reduce ignition probability and wildfire consequences. </w:t>
      </w:r>
    </w:p>
    <w:p w14:paraId="7AAAABEB" w14:textId="4EB8FE53" w:rsidR="00C272FE" w:rsidRDefault="00C272FE" w:rsidP="00C115EF">
      <w:pPr>
        <w:pStyle w:val="paragraph"/>
        <w:numPr>
          <w:ilvl w:val="0"/>
          <w:numId w:val="13"/>
        </w:numPr>
        <w:textAlignment w:val="baseline"/>
        <w:rPr>
          <w:rFonts w:ascii="Garamond" w:hAnsi="Garamond"/>
        </w:rPr>
      </w:pPr>
      <w:r>
        <w:rPr>
          <w:rStyle w:val="normaltextrun1"/>
          <w:rFonts w:ascii="Garamond" w:hAnsi="Garamond"/>
        </w:rPr>
        <w:t xml:space="preserve">Section 5.3.7. of the </w:t>
      </w:r>
      <w:r w:rsidR="008911CE">
        <w:rPr>
          <w:rStyle w:val="normaltextrun1"/>
          <w:rFonts w:ascii="Garamond" w:hAnsi="Garamond"/>
        </w:rPr>
        <w:t xml:space="preserve">2020 </w:t>
      </w:r>
      <w:r>
        <w:rPr>
          <w:rStyle w:val="normaltextrun1"/>
          <w:rFonts w:ascii="Garamond" w:hAnsi="Garamond"/>
        </w:rPr>
        <w:t>WMP Guidelines requires the utilities provide a description of each </w:t>
      </w:r>
      <w:r>
        <w:rPr>
          <w:rStyle w:val="eop"/>
          <w:rFonts w:ascii="Garamond" w:hAnsi="Garamond"/>
        </w:rPr>
        <w:t> </w:t>
      </w:r>
    </w:p>
    <w:p w14:paraId="00925B73" w14:textId="4FE81BBF" w:rsidR="00C272FE" w:rsidRDefault="00C272FE" w:rsidP="00C115EF">
      <w:pPr>
        <w:pStyle w:val="paragraph"/>
        <w:ind w:left="360"/>
        <w:textAlignment w:val="baseline"/>
      </w:pPr>
      <w:r>
        <w:rPr>
          <w:rStyle w:val="normaltextrun1"/>
          <w:rFonts w:ascii="Garamond" w:hAnsi="Garamond"/>
        </w:rPr>
        <w:t>data initiative including whether and how the utility: (1) maintains a centralized repository for data, (2) collaborates with outside organizations on utility ignition and wildfire research, (3) documents and discloses wildfire-related data and algorithms, and (4) tracks and analyzes near miss data.</w:t>
      </w:r>
    </w:p>
    <w:p w14:paraId="4932F030" w14:textId="77777777" w:rsidR="00C272FE" w:rsidRPr="00D27CF3" w:rsidRDefault="00C272FE" w:rsidP="00C115EF">
      <w:pPr>
        <w:spacing w:after="0"/>
        <w:ind w:left="360" w:hanging="360"/>
        <w:rPr>
          <w:rFonts w:ascii="Garamond" w:eastAsia="Times New Roman" w:hAnsi="Garamond"/>
          <w:sz w:val="24"/>
          <w:szCs w:val="24"/>
        </w:rPr>
      </w:pPr>
    </w:p>
    <w:p w14:paraId="42352D27" w14:textId="6CDDB5ED" w:rsidR="00C272FE" w:rsidRPr="00D27CF3" w:rsidRDefault="0008105D" w:rsidP="00C115EF">
      <w:pPr>
        <w:rPr>
          <w:rFonts w:ascii="Century Gothic" w:eastAsia="Times New Roman" w:hAnsi="Century Gothic"/>
        </w:rPr>
      </w:pPr>
      <w:r w:rsidRPr="00D27CF3">
        <w:rPr>
          <w:rFonts w:ascii="Century Gothic" w:eastAsia="Times New Roman" w:hAnsi="Century Gothic"/>
        </w:rPr>
        <w:t xml:space="preserve">Board </w:t>
      </w:r>
      <w:r w:rsidR="00C272FE" w:rsidRPr="00D27CF3">
        <w:rPr>
          <w:rFonts w:ascii="Century Gothic" w:eastAsia="Times New Roman" w:hAnsi="Century Gothic"/>
        </w:rPr>
        <w:t>Recommendation</w:t>
      </w:r>
      <w:r w:rsidR="0001683B" w:rsidRPr="00D27CF3">
        <w:rPr>
          <w:rFonts w:ascii="Century Gothic" w:eastAsia="Times New Roman" w:hAnsi="Century Gothic"/>
        </w:rPr>
        <w:t>s</w:t>
      </w:r>
      <w:r w:rsidR="00C272FE" w:rsidRPr="00D27CF3">
        <w:rPr>
          <w:rFonts w:ascii="Century Gothic" w:eastAsia="Times New Roman" w:hAnsi="Century Gothic"/>
        </w:rPr>
        <w:t xml:space="preserve">: </w:t>
      </w:r>
    </w:p>
    <w:p w14:paraId="59336F84" w14:textId="72E707B5" w:rsidR="00005192" w:rsidRPr="00076ED6" w:rsidRDefault="00C272FE" w:rsidP="00C115EF">
      <w:pPr>
        <w:pStyle w:val="ListParagraph"/>
        <w:numPr>
          <w:ilvl w:val="0"/>
          <w:numId w:val="11"/>
        </w:numPr>
        <w:spacing w:after="0"/>
        <w:ind w:left="360"/>
        <w:contextualSpacing w:val="0"/>
        <w:rPr>
          <w:rFonts w:ascii="Garamond" w:eastAsia="Times New Roman" w:hAnsi="Garamond"/>
          <w:sz w:val="24"/>
          <w:szCs w:val="24"/>
        </w:rPr>
      </w:pPr>
      <w:r w:rsidRPr="00D27CF3">
        <w:rPr>
          <w:rFonts w:ascii="Garamond" w:eastAsia="Garamond" w:hAnsi="Garamond" w:cs="Garamond"/>
          <w:sz w:val="24"/>
          <w:szCs w:val="24"/>
        </w:rPr>
        <w:t xml:space="preserve">The Wildfire Safety Division </w:t>
      </w:r>
      <w:r w:rsidR="003F1C3C">
        <w:rPr>
          <w:rFonts w:ascii="Garamond" w:eastAsia="Garamond" w:hAnsi="Garamond" w:cs="Garamond"/>
          <w:sz w:val="24"/>
          <w:szCs w:val="24"/>
        </w:rPr>
        <w:t xml:space="preserve">should </w:t>
      </w:r>
      <w:r w:rsidR="00005192" w:rsidRPr="00D27CF3">
        <w:rPr>
          <w:rFonts w:ascii="Garamond" w:eastAsia="Garamond" w:hAnsi="Garamond" w:cs="Garamond"/>
          <w:sz w:val="24"/>
          <w:szCs w:val="24"/>
        </w:rPr>
        <w:t>asses</w:t>
      </w:r>
      <w:r w:rsidR="003C3B0B" w:rsidRPr="00D27CF3">
        <w:rPr>
          <w:rFonts w:ascii="Garamond" w:eastAsia="Garamond" w:hAnsi="Garamond" w:cs="Garamond"/>
          <w:sz w:val="24"/>
          <w:szCs w:val="24"/>
        </w:rPr>
        <w:t xml:space="preserve">s </w:t>
      </w:r>
      <w:r w:rsidR="005E44B4" w:rsidRPr="00D27CF3">
        <w:rPr>
          <w:rFonts w:ascii="Garamond" w:eastAsia="Garamond" w:hAnsi="Garamond" w:cs="Garamond"/>
          <w:sz w:val="24"/>
          <w:szCs w:val="24"/>
        </w:rPr>
        <w:t>the accessibility of</w:t>
      </w:r>
      <w:r w:rsidR="005437D1" w:rsidRPr="00D27CF3">
        <w:rPr>
          <w:rFonts w:ascii="Garamond" w:eastAsia="Garamond" w:hAnsi="Garamond" w:cs="Garamond"/>
          <w:sz w:val="24"/>
          <w:szCs w:val="24"/>
        </w:rPr>
        <w:t xml:space="preserve"> </w:t>
      </w:r>
      <w:r w:rsidR="00372216" w:rsidRPr="00D27CF3">
        <w:rPr>
          <w:rFonts w:ascii="Garamond" w:eastAsia="Garamond" w:hAnsi="Garamond" w:cs="Garamond"/>
          <w:sz w:val="24"/>
          <w:szCs w:val="24"/>
        </w:rPr>
        <w:t xml:space="preserve">the utilities’ </w:t>
      </w:r>
      <w:r w:rsidR="00372216" w:rsidRPr="00D27CF3">
        <w:rPr>
          <w:rFonts w:ascii="Garamond" w:eastAsia="Times New Roman" w:hAnsi="Garamond"/>
          <w:sz w:val="24"/>
          <w:szCs w:val="24"/>
        </w:rPr>
        <w:t>advanced weather modeling and fire modeling</w:t>
      </w:r>
      <w:r w:rsidR="000B3BF8" w:rsidRPr="00D27CF3">
        <w:rPr>
          <w:rFonts w:ascii="Garamond" w:eastAsia="Times New Roman" w:hAnsi="Garamond"/>
          <w:sz w:val="24"/>
          <w:szCs w:val="24"/>
        </w:rPr>
        <w:t xml:space="preserve"> </w:t>
      </w:r>
      <w:r w:rsidR="00646308" w:rsidRPr="00D27CF3">
        <w:rPr>
          <w:rFonts w:ascii="Garamond" w:eastAsia="Times New Roman" w:hAnsi="Garamond"/>
          <w:sz w:val="24"/>
          <w:szCs w:val="24"/>
        </w:rPr>
        <w:t>information</w:t>
      </w:r>
      <w:r w:rsidR="00372216" w:rsidRPr="00D27CF3">
        <w:rPr>
          <w:rFonts w:ascii="Garamond" w:eastAsia="Times New Roman" w:hAnsi="Garamond"/>
          <w:sz w:val="24"/>
          <w:szCs w:val="24"/>
        </w:rPr>
        <w:t>.</w:t>
      </w:r>
      <w:r w:rsidR="005E44B4" w:rsidRPr="00D27CF3">
        <w:rPr>
          <w:rFonts w:ascii="Garamond" w:eastAsia="Times New Roman" w:hAnsi="Garamond"/>
          <w:sz w:val="24"/>
          <w:szCs w:val="24"/>
        </w:rPr>
        <w:t xml:space="preserve">  </w:t>
      </w:r>
      <w:r w:rsidR="003F1C3C" w:rsidRPr="00D27CF3">
        <w:rPr>
          <w:rFonts w:ascii="Garamond" w:eastAsia="Garamond" w:hAnsi="Garamond" w:cs="Garamond"/>
          <w:sz w:val="24"/>
          <w:szCs w:val="24"/>
        </w:rPr>
        <w:t xml:space="preserve">The Wildfire Safety Division </w:t>
      </w:r>
      <w:r w:rsidR="003F1C3C">
        <w:rPr>
          <w:rFonts w:ascii="Garamond" w:eastAsia="Garamond" w:hAnsi="Garamond" w:cs="Garamond"/>
          <w:sz w:val="24"/>
          <w:szCs w:val="24"/>
        </w:rPr>
        <w:t>should also consider</w:t>
      </w:r>
      <w:r w:rsidR="003F6464">
        <w:rPr>
          <w:rFonts w:ascii="Garamond" w:eastAsia="Garamond" w:hAnsi="Garamond" w:cs="Garamond"/>
          <w:sz w:val="24"/>
          <w:szCs w:val="24"/>
        </w:rPr>
        <w:t>,</w:t>
      </w:r>
      <w:r w:rsidR="003F1C3C">
        <w:rPr>
          <w:rFonts w:ascii="Garamond" w:eastAsia="Garamond" w:hAnsi="Garamond" w:cs="Garamond"/>
          <w:sz w:val="24"/>
          <w:szCs w:val="24"/>
        </w:rPr>
        <w:t xml:space="preserve"> </w:t>
      </w:r>
      <w:r w:rsidR="003F6464">
        <w:rPr>
          <w:rFonts w:ascii="Garamond" w:eastAsia="Garamond" w:hAnsi="Garamond" w:cs="Garamond"/>
          <w:sz w:val="24"/>
          <w:szCs w:val="24"/>
        </w:rPr>
        <w:t xml:space="preserve">particularly given federal critical infrastructure protection protocols, </w:t>
      </w:r>
      <w:r w:rsidR="003F1C3C">
        <w:rPr>
          <w:rFonts w:ascii="Garamond" w:eastAsia="Garamond" w:hAnsi="Garamond" w:cs="Garamond"/>
          <w:sz w:val="24"/>
          <w:szCs w:val="24"/>
        </w:rPr>
        <w:t xml:space="preserve">whether </w:t>
      </w:r>
      <w:r w:rsidR="003D1369">
        <w:rPr>
          <w:rFonts w:ascii="Garamond" w:eastAsia="Garamond" w:hAnsi="Garamond" w:cs="Garamond"/>
          <w:sz w:val="24"/>
          <w:szCs w:val="24"/>
        </w:rPr>
        <w:t xml:space="preserve">additional </w:t>
      </w:r>
      <w:r w:rsidR="00AE1C16" w:rsidRPr="00855C71">
        <w:rPr>
          <w:rFonts w:ascii="Garamond" w:eastAsia="Garamond" w:hAnsi="Garamond" w:cs="Garamond"/>
          <w:sz w:val="24"/>
          <w:szCs w:val="24"/>
        </w:rPr>
        <w:t xml:space="preserve">information should </w:t>
      </w:r>
      <w:r w:rsidR="009D3AF4" w:rsidRPr="00855C71">
        <w:rPr>
          <w:rFonts w:ascii="Garamond" w:eastAsia="Times New Roman" w:hAnsi="Garamond"/>
          <w:sz w:val="24"/>
          <w:szCs w:val="24"/>
        </w:rPr>
        <w:t xml:space="preserve">be made available to the public and </w:t>
      </w:r>
      <w:r w:rsidR="004C231D">
        <w:rPr>
          <w:rFonts w:ascii="Garamond" w:eastAsia="Times New Roman" w:hAnsi="Garamond"/>
          <w:sz w:val="24"/>
          <w:szCs w:val="24"/>
        </w:rPr>
        <w:t xml:space="preserve">the </w:t>
      </w:r>
      <w:r w:rsidR="00714C16" w:rsidRPr="00855C71">
        <w:rPr>
          <w:rFonts w:ascii="Garamond" w:eastAsia="Times New Roman" w:hAnsi="Garamond"/>
          <w:sz w:val="24"/>
          <w:szCs w:val="24"/>
        </w:rPr>
        <w:t>scientific communit</w:t>
      </w:r>
      <w:r w:rsidR="00714C16" w:rsidRPr="00076ED6">
        <w:rPr>
          <w:rFonts w:ascii="Garamond" w:eastAsia="Times New Roman" w:hAnsi="Garamond"/>
          <w:sz w:val="24"/>
          <w:szCs w:val="24"/>
        </w:rPr>
        <w:t>y</w:t>
      </w:r>
      <w:r w:rsidR="009D3AF4" w:rsidRPr="00076ED6">
        <w:rPr>
          <w:rFonts w:ascii="Garamond" w:eastAsia="Times New Roman" w:hAnsi="Garamond"/>
          <w:sz w:val="24"/>
          <w:szCs w:val="24"/>
        </w:rPr>
        <w:t xml:space="preserve">. </w:t>
      </w:r>
      <w:r w:rsidR="00372216" w:rsidRPr="00076ED6">
        <w:rPr>
          <w:rFonts w:ascii="Garamond" w:eastAsia="Times New Roman" w:hAnsi="Garamond"/>
          <w:sz w:val="24"/>
          <w:szCs w:val="24"/>
        </w:rPr>
        <w:t xml:space="preserve">   </w:t>
      </w:r>
    </w:p>
    <w:p w14:paraId="46810663" w14:textId="77777777" w:rsidR="00C272FE" w:rsidRPr="00C115EF" w:rsidRDefault="00C272FE" w:rsidP="00C115EF">
      <w:pPr>
        <w:pStyle w:val="ListParagraph"/>
        <w:spacing w:after="0"/>
        <w:contextualSpacing w:val="0"/>
        <w:rPr>
          <w:rFonts w:ascii="Garamond" w:hAnsi="Garamond"/>
          <w:sz w:val="24"/>
          <w:szCs w:val="24"/>
        </w:rPr>
      </w:pPr>
    </w:p>
    <w:p w14:paraId="5912A8FF" w14:textId="52E24925" w:rsidR="00C272FE" w:rsidRPr="00D27CF3" w:rsidRDefault="00997EAC" w:rsidP="00C115EF">
      <w:pPr>
        <w:rPr>
          <w:rFonts w:ascii="Century Gothic" w:eastAsia="Times New Roman" w:hAnsi="Century Gothic"/>
        </w:rPr>
      </w:pPr>
      <w:r w:rsidRPr="00D27CF3">
        <w:rPr>
          <w:rFonts w:ascii="Century Gothic" w:eastAsia="Times New Roman" w:hAnsi="Century Gothic"/>
        </w:rPr>
        <w:t>Observations</w:t>
      </w:r>
      <w:r w:rsidR="00C272FE" w:rsidRPr="00D27CF3">
        <w:rPr>
          <w:rFonts w:ascii="Century Gothic" w:eastAsia="Times New Roman" w:hAnsi="Century Gothic"/>
        </w:rPr>
        <w:t>:</w:t>
      </w:r>
    </w:p>
    <w:p w14:paraId="19E72088" w14:textId="09A8AF14" w:rsidR="00E105F7" w:rsidRPr="00D27CF3" w:rsidRDefault="00787CB1" w:rsidP="00C115EF">
      <w:pPr>
        <w:pStyle w:val="ListParagraph"/>
        <w:numPr>
          <w:ilvl w:val="0"/>
          <w:numId w:val="11"/>
        </w:numPr>
        <w:ind w:left="360"/>
        <w:contextualSpacing w:val="0"/>
        <w:rPr>
          <w:rStyle w:val="normaltextrun1"/>
          <w:rFonts w:ascii="Garamond" w:eastAsia="Times New Roman" w:hAnsi="Garamond"/>
          <w:sz w:val="28"/>
          <w:szCs w:val="28"/>
        </w:rPr>
      </w:pPr>
      <w:bookmarkStart w:id="6" w:name="_Hlk35692348"/>
      <w:r>
        <w:rPr>
          <w:rStyle w:val="normaltextrun1"/>
          <w:rFonts w:ascii="Garamond" w:hAnsi="Garamond"/>
          <w:sz w:val="24"/>
          <w:szCs w:val="24"/>
        </w:rPr>
        <w:t>For t</w:t>
      </w:r>
      <w:r w:rsidR="00B0123F" w:rsidRPr="0033409A">
        <w:rPr>
          <w:rStyle w:val="normaltextrun1"/>
          <w:rFonts w:ascii="Garamond" w:hAnsi="Garamond"/>
          <w:sz w:val="24"/>
          <w:szCs w:val="24"/>
        </w:rPr>
        <w:t>he developing wildfire science</w:t>
      </w:r>
      <w:r>
        <w:rPr>
          <w:rStyle w:val="normaltextrun1"/>
          <w:rFonts w:ascii="Garamond" w:hAnsi="Garamond"/>
          <w:sz w:val="24"/>
          <w:szCs w:val="24"/>
        </w:rPr>
        <w:t>, there</w:t>
      </w:r>
      <w:r w:rsidR="00B0123F" w:rsidRPr="0033409A">
        <w:rPr>
          <w:rStyle w:val="normaltextrun1"/>
          <w:rFonts w:ascii="Garamond" w:hAnsi="Garamond"/>
          <w:sz w:val="24"/>
          <w:szCs w:val="24"/>
        </w:rPr>
        <w:t xml:space="preserve"> could be a state-wide, centralized data and situational awareness center that </w:t>
      </w:r>
      <w:r w:rsidR="00D167BE">
        <w:rPr>
          <w:rStyle w:val="normaltextrun1"/>
          <w:rFonts w:ascii="Garamond" w:hAnsi="Garamond"/>
          <w:sz w:val="24"/>
          <w:szCs w:val="24"/>
        </w:rPr>
        <w:t>aggregates</w:t>
      </w:r>
      <w:r w:rsidR="00B0123F" w:rsidRPr="0033409A">
        <w:rPr>
          <w:rStyle w:val="normaltextrun1"/>
          <w:rFonts w:ascii="Garamond" w:hAnsi="Garamond"/>
          <w:sz w:val="24"/>
          <w:szCs w:val="24"/>
        </w:rPr>
        <w:t xml:space="preserve"> data from</w:t>
      </w:r>
      <w:r w:rsidR="00AD3B28">
        <w:rPr>
          <w:rStyle w:val="normaltextrun1"/>
          <w:rFonts w:ascii="Garamond" w:hAnsi="Garamond"/>
          <w:sz w:val="24"/>
          <w:szCs w:val="24"/>
        </w:rPr>
        <w:t xml:space="preserve"> sources including</w:t>
      </w:r>
      <w:r w:rsidR="00B0123F" w:rsidRPr="0033409A">
        <w:rPr>
          <w:rStyle w:val="normaltextrun1"/>
          <w:rFonts w:ascii="Garamond" w:hAnsi="Garamond"/>
          <w:sz w:val="24"/>
          <w:szCs w:val="24"/>
        </w:rPr>
        <w:t xml:space="preserve"> High Definition cameras, and weather stations, in addition to other data collected periodically like early warning data, Geographical Information Systems data, fuel modeling data, risk assessment modeling data, and historical burn patterns. </w:t>
      </w:r>
      <w:r w:rsidR="00A63BC6" w:rsidRPr="0033409A">
        <w:rPr>
          <w:rStyle w:val="normaltextrun1"/>
          <w:rFonts w:ascii="Garamond" w:hAnsi="Garamond"/>
          <w:sz w:val="24"/>
          <w:szCs w:val="24"/>
        </w:rPr>
        <w:t xml:space="preserve"> </w:t>
      </w:r>
    </w:p>
    <w:bookmarkEnd w:id="6"/>
    <w:p w14:paraId="3163E66B" w14:textId="2213954D" w:rsidR="00307E6D" w:rsidRPr="00D27CF3" w:rsidRDefault="00307E6D"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 xml:space="preserve">Multiple weather modeling and fire behavior modeling methods </w:t>
      </w:r>
      <w:r>
        <w:rPr>
          <w:rFonts w:ascii="Garamond" w:eastAsia="Times New Roman" w:hAnsi="Garamond"/>
          <w:sz w:val="24"/>
          <w:szCs w:val="24"/>
        </w:rPr>
        <w:t>should</w:t>
      </w:r>
      <w:r w:rsidRPr="00D27CF3">
        <w:rPr>
          <w:rFonts w:ascii="Garamond" w:eastAsia="Times New Roman" w:hAnsi="Garamond"/>
          <w:sz w:val="24"/>
          <w:szCs w:val="24"/>
        </w:rPr>
        <w:t xml:space="preserve"> be</w:t>
      </w:r>
      <w:r w:rsidR="000F1E8E">
        <w:rPr>
          <w:rFonts w:ascii="Garamond" w:eastAsia="Times New Roman" w:hAnsi="Garamond"/>
          <w:sz w:val="24"/>
          <w:szCs w:val="24"/>
        </w:rPr>
        <w:t xml:space="preserve"> used and</w:t>
      </w:r>
      <w:r w:rsidRPr="00D27CF3">
        <w:rPr>
          <w:rFonts w:ascii="Garamond" w:eastAsia="Times New Roman" w:hAnsi="Garamond"/>
          <w:sz w:val="24"/>
          <w:szCs w:val="24"/>
        </w:rPr>
        <w:t xml:space="preserve"> </w:t>
      </w:r>
      <w:r>
        <w:rPr>
          <w:rFonts w:ascii="Garamond" w:eastAsia="Times New Roman" w:hAnsi="Garamond"/>
          <w:sz w:val="24"/>
          <w:szCs w:val="24"/>
        </w:rPr>
        <w:t>compared</w:t>
      </w:r>
      <w:r w:rsidRPr="00D27CF3">
        <w:rPr>
          <w:rFonts w:ascii="Garamond" w:eastAsia="Times New Roman" w:hAnsi="Garamond"/>
          <w:sz w:val="24"/>
          <w:szCs w:val="24"/>
        </w:rPr>
        <w:t xml:space="preserve"> to inform daily operations and assessments</w:t>
      </w:r>
      <w:r w:rsidR="00D50F32">
        <w:rPr>
          <w:rFonts w:ascii="Garamond" w:eastAsia="Times New Roman" w:hAnsi="Garamond"/>
          <w:sz w:val="24"/>
          <w:szCs w:val="24"/>
        </w:rPr>
        <w:t xml:space="preserve">.  </w:t>
      </w:r>
      <w:r>
        <w:rPr>
          <w:rFonts w:ascii="Garamond" w:eastAsia="Times New Roman" w:hAnsi="Garamond"/>
          <w:sz w:val="24"/>
          <w:szCs w:val="24"/>
        </w:rPr>
        <w:t>Utilities should encourage m</w:t>
      </w:r>
      <w:r w:rsidRPr="00D27CF3">
        <w:rPr>
          <w:rFonts w:ascii="Garamond" w:eastAsia="Times New Roman" w:hAnsi="Garamond"/>
          <w:sz w:val="24"/>
          <w:szCs w:val="24"/>
        </w:rPr>
        <w:t xml:space="preserve">odeler collaboration, </w:t>
      </w:r>
      <w:r>
        <w:rPr>
          <w:rFonts w:ascii="Garamond" w:eastAsia="Times New Roman" w:hAnsi="Garamond"/>
          <w:sz w:val="24"/>
          <w:szCs w:val="24"/>
        </w:rPr>
        <w:t xml:space="preserve">the use of </w:t>
      </w:r>
      <w:r w:rsidRPr="00D27CF3">
        <w:rPr>
          <w:rFonts w:ascii="Garamond" w:eastAsia="Times New Roman" w:hAnsi="Garamond"/>
          <w:sz w:val="24"/>
          <w:szCs w:val="24"/>
        </w:rPr>
        <w:t>non-proprietary methods</w:t>
      </w:r>
      <w:r>
        <w:rPr>
          <w:rFonts w:ascii="Garamond" w:eastAsia="Times New Roman" w:hAnsi="Garamond"/>
          <w:sz w:val="24"/>
          <w:szCs w:val="24"/>
        </w:rPr>
        <w:t>, and documenting the</w:t>
      </w:r>
      <w:r>
        <w:rPr>
          <w:rFonts w:ascii="Garamond" w:eastAsia="Times New Roman" w:hAnsi="Garamond"/>
          <w:color w:val="000000" w:themeColor="text1"/>
          <w:sz w:val="24"/>
          <w:szCs w:val="24"/>
        </w:rPr>
        <w:t xml:space="preserve"> </w:t>
      </w:r>
      <w:r w:rsidRPr="00E54156">
        <w:rPr>
          <w:rFonts w:ascii="Garamond" w:eastAsia="Times New Roman" w:hAnsi="Garamond"/>
          <w:color w:val="000000"/>
          <w:sz w:val="24"/>
          <w:szCs w:val="24"/>
        </w:rPr>
        <w:t xml:space="preserve">techniques </w:t>
      </w:r>
      <w:r>
        <w:rPr>
          <w:rFonts w:ascii="Garamond" w:eastAsia="Times New Roman" w:hAnsi="Garamond"/>
          <w:color w:val="000000"/>
          <w:sz w:val="24"/>
          <w:szCs w:val="24"/>
        </w:rPr>
        <w:t>used in</w:t>
      </w:r>
      <w:r w:rsidRPr="00E54156">
        <w:rPr>
          <w:rFonts w:ascii="Garamond" w:eastAsia="Times New Roman" w:hAnsi="Garamond"/>
          <w:color w:val="000000"/>
          <w:sz w:val="24"/>
          <w:szCs w:val="24"/>
        </w:rPr>
        <w:t xml:space="preserve"> the execution of the</w:t>
      </w:r>
      <w:r>
        <w:rPr>
          <w:rFonts w:ascii="Garamond" w:eastAsia="Times New Roman" w:hAnsi="Garamond"/>
          <w:color w:val="000000"/>
          <w:sz w:val="24"/>
          <w:szCs w:val="24"/>
        </w:rPr>
        <w:t xml:space="preserve"> </w:t>
      </w:r>
      <w:r w:rsidRPr="00E54156">
        <w:rPr>
          <w:rFonts w:ascii="Garamond" w:eastAsia="Times New Roman" w:hAnsi="Garamond"/>
          <w:color w:val="000000"/>
          <w:sz w:val="24"/>
          <w:szCs w:val="24"/>
        </w:rPr>
        <w:t>models</w:t>
      </w:r>
      <w:r>
        <w:rPr>
          <w:rFonts w:ascii="Garamond" w:eastAsia="Times New Roman" w:hAnsi="Garamond"/>
          <w:sz w:val="24"/>
          <w:szCs w:val="24"/>
        </w:rPr>
        <w:t>.</w:t>
      </w:r>
    </w:p>
    <w:p w14:paraId="1FC525F8" w14:textId="681A6789" w:rsidR="00C272FE" w:rsidRPr="00EA218F" w:rsidRDefault="00C272FE" w:rsidP="00C115EF">
      <w:pPr>
        <w:pStyle w:val="ListParagraph"/>
        <w:numPr>
          <w:ilvl w:val="0"/>
          <w:numId w:val="11"/>
        </w:numPr>
        <w:ind w:left="360"/>
        <w:contextualSpacing w:val="0"/>
        <w:rPr>
          <w:rFonts w:ascii="Garamond" w:hAnsi="Garamond"/>
        </w:rPr>
      </w:pPr>
      <w:r w:rsidRPr="00D27CF3">
        <w:rPr>
          <w:rFonts w:ascii="Garamond" w:eastAsia="Times New Roman" w:hAnsi="Garamond"/>
          <w:sz w:val="24"/>
          <w:szCs w:val="24"/>
        </w:rPr>
        <w:t>Fire modeling methods for daily planning and response are</w:t>
      </w:r>
      <w:r w:rsidR="000F6448">
        <w:rPr>
          <w:rFonts w:ascii="Garamond" w:eastAsia="Times New Roman" w:hAnsi="Garamond"/>
          <w:sz w:val="24"/>
          <w:szCs w:val="24"/>
        </w:rPr>
        <w:t xml:space="preserve"> fields of research</w:t>
      </w:r>
      <w:r w:rsidRPr="00D27CF3">
        <w:rPr>
          <w:rFonts w:ascii="Garamond" w:eastAsia="Times New Roman" w:hAnsi="Garamond"/>
          <w:sz w:val="24"/>
          <w:szCs w:val="24"/>
        </w:rPr>
        <w:t xml:space="preserve"> in development.  Because of the inherent uncertainties with all fire models, the </w:t>
      </w:r>
      <w:r w:rsidRPr="00681459">
        <w:rPr>
          <w:rFonts w:ascii="Garamond" w:hAnsi="Garamond"/>
          <w:sz w:val="24"/>
          <w:szCs w:val="24"/>
        </w:rPr>
        <w:t>input data, approach, algorithms, assumptions, and validation results</w:t>
      </w:r>
      <w:r>
        <w:rPr>
          <w:rFonts w:ascii="Garamond" w:hAnsi="Garamond"/>
          <w:sz w:val="24"/>
          <w:szCs w:val="24"/>
        </w:rPr>
        <w:t xml:space="preserve"> </w:t>
      </w:r>
      <w:r w:rsidRPr="00D27CF3">
        <w:rPr>
          <w:rFonts w:ascii="Garamond" w:eastAsia="Times New Roman" w:hAnsi="Garamond"/>
          <w:sz w:val="24"/>
          <w:szCs w:val="24"/>
        </w:rPr>
        <w:t xml:space="preserve">should be reviewed by stakeholders and the scientific community.  Scientists within the utilities should compare different fire modeling approaches and methods to assess the </w:t>
      </w:r>
      <w:r w:rsidRPr="00EA218F">
        <w:rPr>
          <w:rFonts w:ascii="Garamond" w:eastAsia="Times New Roman" w:hAnsi="Garamond"/>
          <w:sz w:val="24"/>
          <w:szCs w:val="24"/>
        </w:rPr>
        <w:t xml:space="preserve">sensitivity of results to different modeling assumptions and should report on the primary sources of uncertainty.  </w:t>
      </w:r>
    </w:p>
    <w:p w14:paraId="492521F6" w14:textId="52748A33" w:rsidR="00EA218F" w:rsidRPr="00EA218F" w:rsidRDefault="00EA218F" w:rsidP="00C115EF">
      <w:pPr>
        <w:pStyle w:val="ListParagraph"/>
        <w:numPr>
          <w:ilvl w:val="0"/>
          <w:numId w:val="11"/>
        </w:numPr>
        <w:ind w:left="360"/>
        <w:contextualSpacing w:val="0"/>
        <w:rPr>
          <w:rFonts w:ascii="Garamond" w:hAnsi="Garamond"/>
        </w:rPr>
      </w:pPr>
      <w:r w:rsidRPr="00EA218F">
        <w:rPr>
          <w:rFonts w:ascii="Garamond" w:eastAsia="Times New Roman" w:hAnsi="Garamond"/>
          <w:color w:val="000000"/>
          <w:sz w:val="24"/>
          <w:szCs w:val="24"/>
        </w:rPr>
        <w:t xml:space="preserve">In a number of sections, the WMPs state that the utilities develop their models or proposed actions in conjunction with “fire scientists” or “subject matter experts,” without listing who these experts are, and their qualifications.  This information should be transparent to ensure that the key developers of modelling decisions and assumptions have a demonstrated understanding of the complexity of fire behavior in different ecosystems. </w:t>
      </w:r>
      <w:r w:rsidR="003D1369">
        <w:rPr>
          <w:rFonts w:ascii="Garamond" w:eastAsia="Times New Roman" w:hAnsi="Garamond"/>
          <w:color w:val="000000"/>
          <w:sz w:val="24"/>
          <w:szCs w:val="24"/>
        </w:rPr>
        <w:t xml:space="preserve"> </w:t>
      </w:r>
      <w:r w:rsidRPr="00EA218F">
        <w:rPr>
          <w:rFonts w:ascii="Garamond" w:eastAsia="Times New Roman" w:hAnsi="Garamond"/>
          <w:color w:val="000000"/>
          <w:sz w:val="24"/>
          <w:szCs w:val="24"/>
        </w:rPr>
        <w:t xml:space="preserve">Future WMPs could include a resume or short bio </w:t>
      </w:r>
      <w:r w:rsidRPr="006D45C2">
        <w:rPr>
          <w:rFonts w:ascii="Garamond" w:eastAsia="Times New Roman" w:hAnsi="Garamond"/>
          <w:color w:val="000000"/>
          <w:sz w:val="24"/>
          <w:szCs w:val="24"/>
        </w:rPr>
        <w:t>listing the qualifications of each of the key scientists.</w:t>
      </w:r>
    </w:p>
    <w:p w14:paraId="694E4E7E" w14:textId="26ED2791" w:rsidR="00C272FE" w:rsidRPr="00D27CF3" w:rsidRDefault="00871BC6" w:rsidP="00C115EF">
      <w:pPr>
        <w:pStyle w:val="ListParagraph"/>
        <w:numPr>
          <w:ilvl w:val="0"/>
          <w:numId w:val="11"/>
        </w:numPr>
        <w:ind w:left="360"/>
        <w:contextualSpacing w:val="0"/>
        <w:rPr>
          <w:rFonts w:ascii="Garamond" w:eastAsia="Times New Roman" w:hAnsi="Garamond"/>
          <w:sz w:val="24"/>
          <w:szCs w:val="24"/>
        </w:rPr>
      </w:pPr>
      <w:r w:rsidRPr="00EA218F">
        <w:rPr>
          <w:rFonts w:ascii="Garamond" w:eastAsia="Times New Roman" w:hAnsi="Garamond"/>
          <w:sz w:val="24"/>
          <w:szCs w:val="24"/>
        </w:rPr>
        <w:t>The</w:t>
      </w:r>
      <w:r w:rsidR="00C272FE" w:rsidRPr="00EA218F">
        <w:rPr>
          <w:rFonts w:ascii="Garamond" w:eastAsia="Times New Roman" w:hAnsi="Garamond"/>
          <w:sz w:val="24"/>
          <w:szCs w:val="24"/>
        </w:rPr>
        <w:t xml:space="preserve"> state of California</w:t>
      </w:r>
      <w:r w:rsidRPr="00EA218F">
        <w:rPr>
          <w:rFonts w:ascii="Garamond" w:eastAsia="Times New Roman" w:hAnsi="Garamond"/>
          <w:sz w:val="24"/>
          <w:szCs w:val="24"/>
        </w:rPr>
        <w:t>’s</w:t>
      </w:r>
      <w:r w:rsidR="00C272FE" w:rsidRPr="00EA218F">
        <w:rPr>
          <w:rFonts w:ascii="Garamond" w:eastAsia="Times New Roman" w:hAnsi="Garamond"/>
          <w:sz w:val="24"/>
          <w:szCs w:val="24"/>
        </w:rPr>
        <w:t xml:space="preserve"> varied climate zones and the increasing uncertainties caused by climate change demonstrate that one size of modeling does not fit all</w:t>
      </w:r>
      <w:r w:rsidR="00D50F32">
        <w:rPr>
          <w:rFonts w:ascii="Garamond" w:eastAsia="Times New Roman" w:hAnsi="Garamond"/>
          <w:sz w:val="24"/>
          <w:szCs w:val="24"/>
        </w:rPr>
        <w:t xml:space="preserve">.  </w:t>
      </w:r>
      <w:r w:rsidR="00C272FE" w:rsidRPr="00EA218F">
        <w:rPr>
          <w:rFonts w:ascii="Garamond" w:eastAsia="Times New Roman" w:hAnsi="Garamond"/>
          <w:sz w:val="24"/>
          <w:szCs w:val="24"/>
        </w:rPr>
        <w:t>One fire</w:t>
      </w:r>
      <w:r w:rsidR="00C272FE" w:rsidRPr="00D27CF3">
        <w:rPr>
          <w:rFonts w:ascii="Garamond" w:eastAsia="Times New Roman" w:hAnsi="Garamond"/>
          <w:sz w:val="24"/>
          <w:szCs w:val="24"/>
        </w:rPr>
        <w:t xml:space="preserve"> model or one weather model will not solve all needs.  Scientists model different combinations of weather, climate, and fuel data, at different time scales to determine which variables are appropriate for which conditions</w:t>
      </w:r>
      <w:r w:rsidR="00D50F32">
        <w:rPr>
          <w:rFonts w:ascii="Garamond" w:eastAsia="Times New Roman" w:hAnsi="Garamond"/>
          <w:sz w:val="24"/>
          <w:szCs w:val="24"/>
        </w:rPr>
        <w:t xml:space="preserve">.  </w:t>
      </w:r>
      <w:r w:rsidR="00C272FE" w:rsidRPr="00D27CF3">
        <w:rPr>
          <w:rFonts w:ascii="Garamond" w:eastAsia="Times New Roman" w:hAnsi="Garamond"/>
          <w:sz w:val="24"/>
          <w:szCs w:val="24"/>
        </w:rPr>
        <w:t>These fields are rapidly evolving, and the utilities are important participants in the growth of the science</w:t>
      </w:r>
      <w:r w:rsidR="00D50F32">
        <w:rPr>
          <w:rFonts w:ascii="Garamond" w:eastAsia="Times New Roman" w:hAnsi="Garamond"/>
          <w:sz w:val="24"/>
          <w:szCs w:val="24"/>
        </w:rPr>
        <w:t xml:space="preserve">.  </w:t>
      </w:r>
      <w:r w:rsidR="00C272FE" w:rsidRPr="00D27CF3">
        <w:rPr>
          <w:rFonts w:ascii="Garamond" w:eastAsia="Times New Roman" w:hAnsi="Garamond"/>
          <w:sz w:val="24"/>
          <w:szCs w:val="24"/>
        </w:rPr>
        <w:t xml:space="preserve">The data and the modeling methods should be publicly available so that scientists can vet them against existing research.  </w:t>
      </w:r>
    </w:p>
    <w:p w14:paraId="7C2628D6" w14:textId="7313BF23" w:rsidR="00C272FE" w:rsidRDefault="00C272FE" w:rsidP="00C115EF">
      <w:pPr>
        <w:pStyle w:val="paragraph"/>
        <w:numPr>
          <w:ilvl w:val="0"/>
          <w:numId w:val="11"/>
        </w:numPr>
        <w:spacing w:after="160" w:line="259" w:lineRule="auto"/>
        <w:ind w:left="360"/>
        <w:textAlignment w:val="baseline"/>
        <w:rPr>
          <w:rFonts w:ascii="Garamond" w:hAnsi="Garamond"/>
        </w:rPr>
      </w:pPr>
      <w:r w:rsidRPr="00D27CF3">
        <w:rPr>
          <w:rStyle w:val="normaltextrun1"/>
          <w:rFonts w:ascii="Garamond" w:hAnsi="Garamond"/>
        </w:rPr>
        <w:t>A centralized situational awareness center, for example, would allow stakeholders to share information, lessons learned, and data to increase the utilit</w:t>
      </w:r>
      <w:r w:rsidR="0005026E">
        <w:rPr>
          <w:rStyle w:val="normaltextrun1"/>
          <w:rFonts w:ascii="Garamond" w:hAnsi="Garamond"/>
        </w:rPr>
        <w:t>ie</w:t>
      </w:r>
      <w:r w:rsidRPr="00D27CF3">
        <w:rPr>
          <w:rStyle w:val="normaltextrun1"/>
          <w:rFonts w:ascii="Garamond" w:hAnsi="Garamond"/>
        </w:rPr>
        <w:t>s</w:t>
      </w:r>
      <w:r w:rsidR="0005026E">
        <w:rPr>
          <w:rStyle w:val="normaltextrun1"/>
          <w:rFonts w:ascii="Garamond" w:hAnsi="Garamond"/>
        </w:rPr>
        <w:t>’</w:t>
      </w:r>
      <w:r w:rsidRPr="00D27CF3">
        <w:rPr>
          <w:rStyle w:val="normaltextrun1"/>
          <w:rFonts w:ascii="Garamond" w:hAnsi="Garamond"/>
        </w:rPr>
        <w:t xml:space="preserve"> ability to identify and adopt best operating protocols quickly.  </w:t>
      </w:r>
      <w:r>
        <w:rPr>
          <w:rStyle w:val="eop"/>
          <w:rFonts w:ascii="Garamond" w:hAnsi="Garamond"/>
        </w:rPr>
        <w:t> </w:t>
      </w:r>
    </w:p>
    <w:p w14:paraId="34FE37FD" w14:textId="57989D45" w:rsidR="00D936A9" w:rsidRPr="00D27CF3" w:rsidRDefault="00D936A9" w:rsidP="00C115EF">
      <w:pPr>
        <w:pStyle w:val="ListParagraph"/>
        <w:numPr>
          <w:ilvl w:val="0"/>
          <w:numId w:val="11"/>
        </w:numPr>
        <w:ind w:left="360"/>
        <w:contextualSpacing w:val="0"/>
        <w:rPr>
          <w:sz w:val="24"/>
          <w:szCs w:val="24"/>
        </w:rPr>
      </w:pPr>
      <w:r w:rsidRPr="00D27CF3">
        <w:rPr>
          <w:rFonts w:ascii="Garamond" w:eastAsia="Times New Roman" w:hAnsi="Garamond"/>
          <w:sz w:val="24"/>
          <w:szCs w:val="24"/>
        </w:rPr>
        <w:t xml:space="preserve">As weather modeling capabilities increase, the data collected, and any new discoveries </w:t>
      </w:r>
      <w:r w:rsidR="00B251B0">
        <w:rPr>
          <w:rFonts w:ascii="Garamond" w:eastAsia="Times New Roman" w:hAnsi="Garamond"/>
          <w:sz w:val="24"/>
          <w:szCs w:val="24"/>
        </w:rPr>
        <w:t>should</w:t>
      </w:r>
      <w:r w:rsidRPr="00D27CF3">
        <w:rPr>
          <w:rFonts w:ascii="Garamond" w:eastAsia="Times New Roman" w:hAnsi="Garamond"/>
          <w:sz w:val="24"/>
          <w:szCs w:val="24"/>
        </w:rPr>
        <w:t xml:space="preserve"> be reported to the CPUC and shared with the scientific community. </w:t>
      </w:r>
      <w:r>
        <w:rPr>
          <w:rFonts w:ascii="Garamond" w:eastAsia="Times New Roman" w:hAnsi="Garamond"/>
          <w:sz w:val="24"/>
          <w:szCs w:val="24"/>
        </w:rPr>
        <w:t xml:space="preserve"> </w:t>
      </w:r>
      <w:r w:rsidRPr="00D27CF3">
        <w:rPr>
          <w:rFonts w:ascii="Garamond" w:eastAsia="Times New Roman" w:hAnsi="Garamond"/>
          <w:sz w:val="24"/>
          <w:szCs w:val="24"/>
        </w:rPr>
        <w:t>PG&amp;E is increasing the resolution or granularity of its weather models by going from a 3 km radius to a 2 km radius</w:t>
      </w:r>
      <w:r w:rsidR="00D50F32">
        <w:rPr>
          <w:rFonts w:ascii="Garamond" w:eastAsia="Times New Roman" w:hAnsi="Garamond"/>
          <w:sz w:val="24"/>
          <w:szCs w:val="24"/>
        </w:rPr>
        <w:t xml:space="preserve">.  </w:t>
      </w:r>
      <w:r w:rsidRPr="00D27CF3">
        <w:rPr>
          <w:rFonts w:ascii="Garamond" w:eastAsia="Times New Roman" w:hAnsi="Garamond"/>
          <w:sz w:val="24"/>
          <w:szCs w:val="24"/>
        </w:rPr>
        <w:t xml:space="preserve">  SDG&amp;E is increasing the frequency in which it collects weather data from every 10 minutes to 30 seconds.  Increased data sharing will provide an opportunity to building an open scientific community and permit research findings and code developed by academics to be made available to the utilities to inform utility operations. </w:t>
      </w:r>
    </w:p>
    <w:p w14:paraId="5EF99D9D" w14:textId="77777777" w:rsidR="00C272FE" w:rsidRPr="00F2243C" w:rsidRDefault="00C272FE" w:rsidP="00C115EF">
      <w:pPr>
        <w:pStyle w:val="paragraph"/>
        <w:numPr>
          <w:ilvl w:val="0"/>
          <w:numId w:val="11"/>
        </w:numPr>
        <w:spacing w:after="160" w:line="259" w:lineRule="auto"/>
        <w:ind w:left="360"/>
        <w:textAlignment w:val="baseline"/>
        <w:rPr>
          <w:rFonts w:ascii="Garamond" w:hAnsi="Garamond"/>
        </w:rPr>
      </w:pPr>
      <w:r w:rsidRPr="00D27CF3">
        <w:rPr>
          <w:rStyle w:val="normaltextrun1"/>
          <w:rFonts w:ascii="Garamond" w:hAnsi="Garamond"/>
        </w:rPr>
        <w:t>Aggregating the extensive network of high definition cameras and weather stations deployed by California’s utilities, and others, coupled with augmented risk assessment models developed by each utility within each High Fire Threat Districts (HFTD), will allow state, local governments, emergency agencies and others to better map weather patterns, fuel modelling, historical burn patterns, and evolving conditions in the HFTDs. </w:t>
      </w:r>
      <w:r>
        <w:rPr>
          <w:rStyle w:val="eop"/>
          <w:rFonts w:ascii="Garamond" w:hAnsi="Garamond"/>
        </w:rPr>
        <w:t> </w:t>
      </w:r>
      <w:r w:rsidRPr="00D27CF3">
        <w:rPr>
          <w:rStyle w:val="normaltextrun1"/>
          <w:rFonts w:ascii="Garamond" w:hAnsi="Garamond"/>
        </w:rPr>
        <w:t>A higher resolution picture of the state’s wildfire landscape will enhance utility wildfire threat responses and planning to events and improve communications with the community. </w:t>
      </w:r>
      <w:r w:rsidRPr="00F2243C">
        <w:rPr>
          <w:rStyle w:val="eop"/>
          <w:rFonts w:ascii="Garamond" w:hAnsi="Garamond"/>
        </w:rPr>
        <w:t> </w:t>
      </w:r>
    </w:p>
    <w:p w14:paraId="640BAC3F" w14:textId="355F797B" w:rsidR="00EA218F" w:rsidRDefault="00C272FE" w:rsidP="00C115EF">
      <w:pPr>
        <w:pStyle w:val="paragraph"/>
        <w:numPr>
          <w:ilvl w:val="0"/>
          <w:numId w:val="11"/>
        </w:numPr>
        <w:ind w:left="360"/>
        <w:textAlignment w:val="baseline"/>
        <w:rPr>
          <w:rStyle w:val="normaltextrun1"/>
          <w:rFonts w:ascii="Garamond" w:hAnsi="Garamond"/>
        </w:rPr>
      </w:pPr>
      <w:r w:rsidRPr="00D27CF3">
        <w:rPr>
          <w:rStyle w:val="normaltextrun1"/>
          <w:rFonts w:ascii="Garamond" w:hAnsi="Garamond"/>
        </w:rPr>
        <w:t>A commitment to work on integrating the data from each of the utilit</w:t>
      </w:r>
      <w:r w:rsidR="001E60EF">
        <w:rPr>
          <w:rStyle w:val="normaltextrun1"/>
          <w:rFonts w:ascii="Garamond" w:hAnsi="Garamond"/>
        </w:rPr>
        <w:t>ie</w:t>
      </w:r>
      <w:r w:rsidRPr="00D27CF3">
        <w:rPr>
          <w:rStyle w:val="normaltextrun1"/>
          <w:rFonts w:ascii="Garamond" w:hAnsi="Garamond"/>
        </w:rPr>
        <w:t>s</w:t>
      </w:r>
      <w:r w:rsidR="001E60EF">
        <w:rPr>
          <w:rStyle w:val="normaltextrun1"/>
          <w:rFonts w:ascii="Garamond" w:hAnsi="Garamond"/>
        </w:rPr>
        <w:t>’</w:t>
      </w:r>
      <w:r w:rsidRPr="00D27CF3">
        <w:rPr>
          <w:rStyle w:val="normaltextrun1"/>
          <w:rFonts w:ascii="Garamond" w:hAnsi="Garamond"/>
        </w:rPr>
        <w:t xml:space="preserve"> proprietary technology into one central repository will increase the state’s ability to map common areas and anomalies unique to specific HFTDs.  Access to this information should be provided to communities at risk and first responders as it will create opportunities for more effective logistical planning and response.  California </w:t>
      </w:r>
      <w:r w:rsidR="00B251B0">
        <w:rPr>
          <w:rStyle w:val="normaltextrun1"/>
          <w:rFonts w:ascii="Garamond" w:hAnsi="Garamond"/>
        </w:rPr>
        <w:t>should</w:t>
      </w:r>
      <w:r w:rsidRPr="00D27CF3">
        <w:rPr>
          <w:rStyle w:val="normaltextrun1"/>
          <w:rFonts w:ascii="Garamond" w:hAnsi="Garamond"/>
        </w:rPr>
        <w:t xml:space="preserve"> move away from archaic methodology and protocols, to a more evolved, mature, and sustainable cooperation</w:t>
      </w:r>
      <w:r w:rsidR="00517784">
        <w:rPr>
          <w:rStyle w:val="normaltextrun1"/>
          <w:rFonts w:ascii="Garamond" w:hAnsi="Garamond"/>
        </w:rPr>
        <w:t xml:space="preserve"> and collaboration</w:t>
      </w:r>
      <w:r w:rsidRPr="00D27CF3">
        <w:rPr>
          <w:rStyle w:val="normaltextrun1"/>
          <w:rFonts w:ascii="Garamond" w:hAnsi="Garamond"/>
        </w:rPr>
        <w:t xml:space="preserve"> model. </w:t>
      </w:r>
    </w:p>
    <w:p w14:paraId="29208440" w14:textId="067F7DD9" w:rsidR="00C272FE" w:rsidRDefault="00C272FE" w:rsidP="00C115EF">
      <w:pPr>
        <w:pStyle w:val="paragraph"/>
        <w:ind w:left="360"/>
        <w:textAlignment w:val="baseline"/>
        <w:rPr>
          <w:rFonts w:ascii="Garamond" w:hAnsi="Garamond"/>
        </w:rPr>
      </w:pPr>
      <w:r>
        <w:rPr>
          <w:rStyle w:val="eop"/>
          <w:rFonts w:ascii="Garamond" w:hAnsi="Garamond"/>
        </w:rPr>
        <w:t> </w:t>
      </w:r>
    </w:p>
    <w:p w14:paraId="43149459" w14:textId="77777777" w:rsidR="00C272FE" w:rsidRPr="00D27CF3" w:rsidRDefault="00C272FE" w:rsidP="00C115EF">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1BCF2A21" w14:textId="304E33F4" w:rsidR="00EA218F" w:rsidRPr="00EA218F" w:rsidRDefault="004C231D" w:rsidP="00C115EF">
      <w:pPr>
        <w:pStyle w:val="ListParagraph"/>
        <w:numPr>
          <w:ilvl w:val="0"/>
          <w:numId w:val="17"/>
        </w:numPr>
        <w:contextualSpacing w:val="0"/>
        <w:rPr>
          <w:rFonts w:ascii="Garamond" w:eastAsia="Times New Roman" w:hAnsi="Garamond"/>
          <w:color w:val="000000"/>
          <w:sz w:val="24"/>
          <w:szCs w:val="24"/>
        </w:rPr>
      </w:pPr>
      <w:r>
        <w:rPr>
          <w:rFonts w:ascii="Garamond" w:eastAsia="Times New Roman" w:hAnsi="Garamond"/>
          <w:color w:val="000000"/>
          <w:sz w:val="24"/>
          <w:szCs w:val="24"/>
        </w:rPr>
        <w:t>Addition of a</w:t>
      </w:r>
      <w:r w:rsidR="00EA218F" w:rsidRPr="008E4864">
        <w:rPr>
          <w:rFonts w:ascii="Garamond" w:eastAsia="Times New Roman" w:hAnsi="Garamond"/>
          <w:color w:val="000000"/>
          <w:sz w:val="24"/>
          <w:szCs w:val="24"/>
        </w:rPr>
        <w:t xml:space="preserve"> section to the utility webpage that that include the curriculum vitae </w:t>
      </w:r>
      <w:r w:rsidR="00EA218F">
        <w:rPr>
          <w:rFonts w:ascii="Garamond" w:eastAsia="Times New Roman" w:hAnsi="Garamond"/>
          <w:color w:val="000000"/>
          <w:sz w:val="24"/>
          <w:szCs w:val="24"/>
        </w:rPr>
        <w:t xml:space="preserve">or minimum qualifications </w:t>
      </w:r>
      <w:r w:rsidR="00EA218F" w:rsidRPr="008E4864">
        <w:rPr>
          <w:rFonts w:ascii="Garamond" w:eastAsia="Times New Roman" w:hAnsi="Garamond"/>
          <w:color w:val="000000"/>
          <w:sz w:val="24"/>
          <w:szCs w:val="24"/>
        </w:rPr>
        <w:t xml:space="preserve">for the scientific professionals </w:t>
      </w:r>
      <w:r w:rsidR="00EA218F">
        <w:rPr>
          <w:rFonts w:ascii="Garamond" w:eastAsia="Times New Roman" w:hAnsi="Garamond"/>
          <w:color w:val="000000"/>
          <w:sz w:val="24"/>
          <w:szCs w:val="24"/>
        </w:rPr>
        <w:t xml:space="preserve">that the utility </w:t>
      </w:r>
      <w:r w:rsidR="00EA218F" w:rsidRPr="008E4864">
        <w:rPr>
          <w:rFonts w:ascii="Garamond" w:eastAsia="Times New Roman" w:hAnsi="Garamond"/>
          <w:color w:val="000000"/>
          <w:sz w:val="24"/>
          <w:szCs w:val="24"/>
        </w:rPr>
        <w:t>consulted</w:t>
      </w:r>
      <w:r w:rsidR="00EA218F">
        <w:rPr>
          <w:rFonts w:ascii="Garamond" w:eastAsia="Times New Roman" w:hAnsi="Garamond"/>
          <w:color w:val="000000"/>
          <w:sz w:val="24"/>
          <w:szCs w:val="24"/>
        </w:rPr>
        <w:t xml:space="preserve"> with</w:t>
      </w:r>
      <w:r w:rsidR="00EA218F" w:rsidRPr="008E4864">
        <w:rPr>
          <w:rFonts w:ascii="Garamond" w:eastAsia="Times New Roman" w:hAnsi="Garamond"/>
          <w:color w:val="000000"/>
          <w:sz w:val="24"/>
          <w:szCs w:val="24"/>
        </w:rPr>
        <w:t xml:space="preserve"> in the development of the plans</w:t>
      </w:r>
      <w:r w:rsidR="00EA218F">
        <w:rPr>
          <w:rFonts w:ascii="Garamond" w:eastAsia="Times New Roman" w:hAnsi="Garamond"/>
          <w:color w:val="000000"/>
          <w:sz w:val="24"/>
          <w:szCs w:val="24"/>
        </w:rPr>
        <w:t xml:space="preserve"> that</w:t>
      </w:r>
      <w:r w:rsidR="00EA218F" w:rsidRPr="008E4864">
        <w:rPr>
          <w:rFonts w:ascii="Garamond" w:eastAsia="Times New Roman" w:hAnsi="Garamond"/>
          <w:color w:val="000000"/>
          <w:sz w:val="24"/>
          <w:szCs w:val="24"/>
        </w:rPr>
        <w:t xml:space="preserve"> includes the coursework offered in fire mitigation modeling, including next course dates.  </w:t>
      </w:r>
      <w:r w:rsidR="00EA218F">
        <w:rPr>
          <w:rFonts w:ascii="Garamond" w:eastAsia="Times New Roman" w:hAnsi="Garamond"/>
          <w:color w:val="000000"/>
          <w:sz w:val="24"/>
          <w:szCs w:val="24"/>
        </w:rPr>
        <w:t>Provide</w:t>
      </w:r>
      <w:r>
        <w:rPr>
          <w:rFonts w:ascii="Garamond" w:eastAsia="Times New Roman" w:hAnsi="Garamond"/>
          <w:color w:val="000000"/>
          <w:sz w:val="24"/>
          <w:szCs w:val="24"/>
        </w:rPr>
        <w:t>s</w:t>
      </w:r>
      <w:r w:rsidR="00EA218F">
        <w:rPr>
          <w:rFonts w:ascii="Garamond" w:eastAsia="Times New Roman" w:hAnsi="Garamond"/>
          <w:color w:val="000000"/>
          <w:sz w:val="24"/>
          <w:szCs w:val="24"/>
        </w:rPr>
        <w:t xml:space="preserve"> links that showcase the partnerships that the utility has created with various universities where </w:t>
      </w:r>
      <w:r w:rsidR="00EA218F" w:rsidRPr="008E4864">
        <w:rPr>
          <w:rFonts w:ascii="Garamond" w:eastAsia="Times New Roman" w:hAnsi="Garamond"/>
          <w:color w:val="000000"/>
          <w:sz w:val="24"/>
          <w:szCs w:val="24"/>
        </w:rPr>
        <w:t xml:space="preserve">interested future fire scientists can find training and education in the field. </w:t>
      </w:r>
    </w:p>
    <w:p w14:paraId="477D855D" w14:textId="0F752312" w:rsidR="000811F9" w:rsidRPr="00D27CF3" w:rsidRDefault="00DC5ABB" w:rsidP="00C115EF">
      <w:pPr>
        <w:pStyle w:val="ListParagraph"/>
        <w:numPr>
          <w:ilvl w:val="0"/>
          <w:numId w:val="17"/>
        </w:numPr>
        <w:contextualSpacing w:val="0"/>
        <w:rPr>
          <w:rFonts w:ascii="Century Gothic" w:eastAsia="Times New Roman" w:hAnsi="Century Gothic"/>
          <w:sz w:val="24"/>
          <w:szCs w:val="24"/>
        </w:rPr>
      </w:pPr>
      <w:r w:rsidRPr="00D27CF3">
        <w:rPr>
          <w:rFonts w:ascii="Garamond" w:eastAsia="Times New Roman" w:hAnsi="Garamond"/>
          <w:sz w:val="24"/>
          <w:szCs w:val="24"/>
        </w:rPr>
        <w:t>Creat</w:t>
      </w:r>
      <w:r w:rsidR="00787CB1">
        <w:rPr>
          <w:rFonts w:ascii="Garamond" w:eastAsia="Times New Roman" w:hAnsi="Garamond"/>
          <w:sz w:val="24"/>
          <w:szCs w:val="24"/>
        </w:rPr>
        <w:t>ion of</w:t>
      </w:r>
      <w:r w:rsidRPr="00D27CF3">
        <w:rPr>
          <w:rFonts w:ascii="Garamond" w:eastAsia="Times New Roman" w:hAnsi="Garamond"/>
          <w:sz w:val="24"/>
          <w:szCs w:val="24"/>
        </w:rPr>
        <w:t xml:space="preserve"> </w:t>
      </w:r>
      <w:r w:rsidR="00C272FE" w:rsidRPr="00D27CF3">
        <w:rPr>
          <w:rFonts w:ascii="Garamond" w:eastAsia="Times New Roman" w:hAnsi="Garamond"/>
          <w:sz w:val="24"/>
          <w:szCs w:val="24"/>
        </w:rPr>
        <w:t xml:space="preserve">a portal, system, or facility where the utilities can upload their detailed weather and fire model code and data and the scientific community can access it for further </w:t>
      </w:r>
      <w:r w:rsidR="000811F9" w:rsidRPr="00D27CF3">
        <w:rPr>
          <w:rFonts w:ascii="Garamond" w:eastAsia="Times New Roman" w:hAnsi="Garamond"/>
          <w:sz w:val="24"/>
          <w:szCs w:val="24"/>
        </w:rPr>
        <w:t>analysis</w:t>
      </w:r>
      <w:r w:rsidR="000811F9">
        <w:rPr>
          <w:rFonts w:ascii="Garamond" w:eastAsia="Times New Roman" w:hAnsi="Garamond"/>
          <w:sz w:val="24"/>
          <w:szCs w:val="24"/>
        </w:rPr>
        <w:t>, again, consistent with federal critical infrastructure protection protocols.  Thought should be given to recommending narrow changes to those protocols to accomplish this objective.</w:t>
      </w:r>
    </w:p>
    <w:p w14:paraId="43EB957D" w14:textId="7E7A4D60" w:rsidR="00C272FE" w:rsidRDefault="00C272FE" w:rsidP="00C115EF">
      <w:pPr>
        <w:pStyle w:val="paragraph"/>
        <w:numPr>
          <w:ilvl w:val="0"/>
          <w:numId w:val="17"/>
        </w:numPr>
        <w:spacing w:after="160"/>
        <w:textAlignment w:val="baseline"/>
        <w:rPr>
          <w:rStyle w:val="eop"/>
          <w:rFonts w:ascii="Garamond" w:eastAsiaTheme="minorHAnsi" w:hAnsi="Garamond" w:cstheme="minorBidi"/>
          <w:sz w:val="22"/>
          <w:szCs w:val="22"/>
        </w:rPr>
      </w:pPr>
      <w:r w:rsidRPr="00D27CF3">
        <w:rPr>
          <w:rStyle w:val="normaltextrun1"/>
          <w:rFonts w:ascii="Garamond" w:hAnsi="Garamond"/>
        </w:rPr>
        <w:t>Submission of coordination and collaboration plans and process milestones to achieve this portal, system, or facility</w:t>
      </w:r>
      <w:r w:rsidR="00DC5ABB" w:rsidRPr="00D27CF3">
        <w:rPr>
          <w:rStyle w:val="normaltextrun1"/>
          <w:rFonts w:ascii="Garamond" w:hAnsi="Garamond"/>
        </w:rPr>
        <w:t xml:space="preserve"> out to be submitted in future WMPs including details as to </w:t>
      </w:r>
      <w:r w:rsidRPr="00D27CF3">
        <w:rPr>
          <w:rStyle w:val="normaltextrun1"/>
          <w:rFonts w:ascii="Garamond" w:hAnsi="Garamond"/>
        </w:rPr>
        <w:t>how the scientific and educational community can access and utilize the data from the portal, system, or facility. </w:t>
      </w:r>
      <w:r>
        <w:rPr>
          <w:rStyle w:val="eop"/>
          <w:rFonts w:ascii="Garamond" w:hAnsi="Garamond"/>
        </w:rPr>
        <w:t> </w:t>
      </w:r>
    </w:p>
    <w:p w14:paraId="0EA51722" w14:textId="0C8229D0" w:rsidR="00B0123F" w:rsidRPr="00D27CF3" w:rsidRDefault="004C231D" w:rsidP="00C115EF">
      <w:pPr>
        <w:pStyle w:val="ListParagraph"/>
        <w:numPr>
          <w:ilvl w:val="0"/>
          <w:numId w:val="17"/>
        </w:numPr>
        <w:contextualSpacing w:val="0"/>
        <w:rPr>
          <w:rFonts w:ascii="Garamond" w:hAnsi="Garamond"/>
        </w:rPr>
      </w:pPr>
      <w:r>
        <w:rPr>
          <w:rFonts w:ascii="Garamond" w:eastAsia="Garamond" w:hAnsi="Garamond" w:cs="Garamond"/>
          <w:sz w:val="24"/>
          <w:szCs w:val="24"/>
        </w:rPr>
        <w:t>S</w:t>
      </w:r>
      <w:r w:rsidR="003A45F3">
        <w:rPr>
          <w:rFonts w:ascii="Garamond" w:eastAsia="Garamond" w:hAnsi="Garamond" w:cs="Garamond"/>
          <w:sz w:val="24"/>
          <w:szCs w:val="24"/>
        </w:rPr>
        <w:t>ubmission of</w:t>
      </w:r>
      <w:r w:rsidR="00245903" w:rsidRPr="00D27CF3">
        <w:rPr>
          <w:rFonts w:ascii="Garamond" w:eastAsia="Garamond" w:hAnsi="Garamond" w:cs="Garamond"/>
          <w:sz w:val="24"/>
          <w:szCs w:val="24"/>
        </w:rPr>
        <w:t xml:space="preserve"> a </w:t>
      </w:r>
      <w:r w:rsidR="006B1B43" w:rsidRPr="00D27CF3">
        <w:rPr>
          <w:rFonts w:ascii="Garamond" w:eastAsia="Garamond" w:hAnsi="Garamond" w:cs="Garamond"/>
          <w:sz w:val="24"/>
          <w:szCs w:val="24"/>
        </w:rPr>
        <w:t>postmortem</w:t>
      </w:r>
      <w:r w:rsidR="00245903" w:rsidRPr="00D27CF3">
        <w:rPr>
          <w:rFonts w:ascii="Garamond" w:eastAsia="Garamond" w:hAnsi="Garamond" w:cs="Garamond"/>
          <w:sz w:val="24"/>
          <w:szCs w:val="24"/>
        </w:rPr>
        <w:t xml:space="preserve"> and lessons learned </w:t>
      </w:r>
      <w:r w:rsidR="00B0123F" w:rsidRPr="00D27CF3">
        <w:rPr>
          <w:rFonts w:ascii="Garamond" w:eastAsia="Times New Roman" w:hAnsi="Garamond"/>
          <w:sz w:val="24"/>
          <w:szCs w:val="24"/>
        </w:rPr>
        <w:t xml:space="preserve">to the CPUC </w:t>
      </w:r>
      <w:r w:rsidR="00245903" w:rsidRPr="00D27CF3">
        <w:rPr>
          <w:rFonts w:ascii="Garamond" w:eastAsia="Times New Roman" w:hAnsi="Garamond"/>
          <w:sz w:val="24"/>
          <w:szCs w:val="24"/>
        </w:rPr>
        <w:t xml:space="preserve">describing the </w:t>
      </w:r>
      <w:r w:rsidR="00B0123F" w:rsidRPr="00D27CF3">
        <w:rPr>
          <w:rFonts w:ascii="Garamond" w:eastAsia="Times New Roman" w:hAnsi="Garamond"/>
          <w:sz w:val="24"/>
          <w:szCs w:val="24"/>
        </w:rPr>
        <w:t xml:space="preserve">model results that inform and trigger PSPS events so that a deeper assessment of infrastructure damage and high wind events can be developed. </w:t>
      </w:r>
    </w:p>
    <w:p w14:paraId="3FD2C1B7" w14:textId="644194DA" w:rsidR="00C272FE" w:rsidRPr="00D27CF3" w:rsidRDefault="00C272FE" w:rsidP="00C115EF">
      <w:pPr>
        <w:pStyle w:val="ListParagraph"/>
        <w:spacing w:after="0"/>
        <w:contextualSpacing w:val="0"/>
        <w:rPr>
          <w:rFonts w:ascii="Century Gothic" w:eastAsia="Times New Roman" w:hAnsi="Century Gothic"/>
          <w:sz w:val="24"/>
          <w:szCs w:val="24"/>
        </w:rPr>
      </w:pPr>
    </w:p>
    <w:p w14:paraId="289123BE" w14:textId="6223BE8E" w:rsidR="004600A0" w:rsidRPr="00D27CF3" w:rsidRDefault="00E859C1" w:rsidP="00C115EF">
      <w:pPr>
        <w:pStyle w:val="Heading1"/>
      </w:pPr>
      <w:r w:rsidRPr="00D27CF3">
        <w:br w:type="page"/>
      </w:r>
    </w:p>
    <w:p w14:paraId="24F2A51A" w14:textId="3336246C" w:rsidR="008929F5" w:rsidRPr="00D27CF3" w:rsidRDefault="00305C7F" w:rsidP="00C115EF">
      <w:pPr>
        <w:pStyle w:val="Heading1"/>
      </w:pPr>
      <w:bookmarkStart w:id="7" w:name="_Toc36750064"/>
      <w:bookmarkStart w:id="8" w:name="_Toc36319413"/>
      <w:r w:rsidRPr="00D27CF3">
        <w:t>4</w:t>
      </w:r>
      <w:r w:rsidR="008416BD" w:rsidRPr="00D27CF3">
        <w:t xml:space="preserve">. </w:t>
      </w:r>
      <w:r w:rsidR="00B75712" w:rsidRPr="00D27CF3">
        <w:t>Future Proof</w:t>
      </w:r>
      <w:r w:rsidR="00C07C46">
        <w:t>ing</w:t>
      </w:r>
      <w:r w:rsidR="00B75712" w:rsidRPr="00D27CF3">
        <w:t xml:space="preserve"> Utility Pilots </w:t>
      </w:r>
      <w:r w:rsidR="0001290F">
        <w:t xml:space="preserve">and Aligning </w:t>
      </w:r>
      <w:r w:rsidR="00197091">
        <w:t xml:space="preserve">Pilots </w:t>
      </w:r>
      <w:r w:rsidR="00C07C46">
        <w:t xml:space="preserve">with </w:t>
      </w:r>
      <w:r w:rsidR="003614B7">
        <w:t>Climate Goals</w:t>
      </w:r>
      <w:bookmarkEnd w:id="7"/>
      <w:r w:rsidR="003614B7">
        <w:t xml:space="preserve"> </w:t>
      </w:r>
    </w:p>
    <w:bookmarkEnd w:id="8"/>
    <w:p w14:paraId="3CD3481B" w14:textId="77777777" w:rsidR="00997EAC" w:rsidRPr="003E5754" w:rsidRDefault="00997EAC" w:rsidP="00C115EF">
      <w:pPr>
        <w:spacing w:after="0"/>
        <w:rPr>
          <w:sz w:val="8"/>
          <w:szCs w:val="8"/>
        </w:rPr>
      </w:pP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573A45" w14:paraId="751062BD" w14:textId="77777777" w:rsidTr="008416BD">
        <w:trPr>
          <w:trHeight w:val="436"/>
          <w:jc w:val="center"/>
        </w:trPr>
        <w:tc>
          <w:tcPr>
            <w:tcW w:w="6480" w:type="dxa"/>
            <w:gridSpan w:val="2"/>
            <w:tcBorders>
              <w:bottom w:val="single" w:sz="12" w:space="0" w:color="8496B0" w:themeColor="text2" w:themeTint="99"/>
            </w:tcBorders>
            <w:shd w:val="clear" w:color="auto" w:fill="D9E2F3" w:themeFill="accent1" w:themeFillTint="33"/>
          </w:tcPr>
          <w:p w14:paraId="786F1EA1" w14:textId="77777777" w:rsidR="00573A45" w:rsidRPr="007C7BDA" w:rsidRDefault="00573A45" w:rsidP="00C115EF">
            <w:pPr>
              <w:spacing w:before="60"/>
              <w:ind w:left="432"/>
              <w:rPr>
                <w:rFonts w:ascii="Garamond" w:hAnsi="Garamond"/>
              </w:rPr>
            </w:pPr>
            <w:r w:rsidRPr="007C7BDA">
              <w:rPr>
                <w:b/>
                <w:bCs/>
                <w:noProof/>
              </w:rPr>
              <w:drawing>
                <wp:anchor distT="0" distB="0" distL="114300" distR="114300" simplePos="0" relativeHeight="251658248" behindDoc="0" locked="0" layoutInCell="1" allowOverlap="0" wp14:anchorId="1178E7E1" wp14:editId="66645B02">
                  <wp:simplePos x="0" y="0"/>
                  <wp:positionH relativeFrom="leftMargin">
                    <wp:posOffset>59690</wp:posOffset>
                  </wp:positionH>
                  <wp:positionV relativeFrom="paragraph">
                    <wp:posOffset>5927</wp:posOffset>
                  </wp:positionV>
                  <wp:extent cx="246888" cy="246888"/>
                  <wp:effectExtent l="0" t="0" r="1270" b="1270"/>
                  <wp:wrapNone/>
                  <wp:docPr id="17" name="Graphic 17"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1798867999"/>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515077452"/>
                <w14:checkbox>
                  <w14:checked w14:val="0"/>
                  <w14:checkedState w14:val="2612" w14:font="MS Gothic"/>
                  <w14:uncheckedState w14:val="2610" w14:font="MS Gothic"/>
                </w14:checkbox>
              </w:sdtPr>
              <w:sdtEndPr/>
              <w:sdtContent>
                <w:r w:rsidRPr="007C7BDA">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1738435232"/>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1032655122"/>
                <w14:checkbox>
                  <w14:checked w14:val="1"/>
                  <w14:checkedState w14:val="2612" w14:font="MS Gothic"/>
                  <w14:uncheckedState w14:val="2610" w14:font="MS Gothic"/>
                </w14:checkbox>
              </w:sdtPr>
              <w:sdtEndPr/>
              <w:sdtContent>
                <w:r w:rsidRPr="00D27CF3">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59F70890" w14:textId="450AE8FF" w:rsidR="00573A45" w:rsidRPr="007C7BDA" w:rsidRDefault="00573A45" w:rsidP="00C115EF">
            <w:pPr>
              <w:spacing w:before="60"/>
              <w:ind w:left="-15"/>
              <w:rPr>
                <w:rFonts w:ascii="Garamond" w:hAnsi="Garamond"/>
              </w:rPr>
            </w:pPr>
            <w:r>
              <w:rPr>
                <w:rFonts w:ascii="Garamond" w:hAnsi="Garamond"/>
              </w:rPr>
              <w:t xml:space="preserve">    </w:t>
            </w:r>
            <w:r w:rsidR="00076ED6">
              <w:rPr>
                <w:rFonts w:ascii="Garamond" w:hAnsi="Garamond"/>
                <w:noProof/>
              </w:rPr>
              <w:drawing>
                <wp:anchor distT="0" distB="0" distL="114300" distR="114300" simplePos="0" relativeHeight="251658271" behindDoc="0" locked="0" layoutInCell="1" allowOverlap="1" wp14:anchorId="4E995C4C" wp14:editId="6C76AB65">
                  <wp:simplePos x="0" y="0"/>
                  <wp:positionH relativeFrom="column">
                    <wp:posOffset>-1905</wp:posOffset>
                  </wp:positionH>
                  <wp:positionV relativeFrom="paragraph">
                    <wp:posOffset>1905</wp:posOffset>
                  </wp:positionV>
                  <wp:extent cx="295275" cy="295275"/>
                  <wp:effectExtent l="0" t="0" r="0" b="0"/>
                  <wp:wrapNone/>
                  <wp:docPr id="15" name="Graphic 15"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7064A3">
              <w:rPr>
                <w:rFonts w:ascii="Garamond" w:hAnsi="Garamond"/>
              </w:rPr>
              <w:t>4</w:t>
            </w:r>
          </w:p>
        </w:tc>
      </w:tr>
      <w:tr w:rsidR="00573A45" w14:paraId="37917A47" w14:textId="77777777" w:rsidTr="008416BD">
        <w:trPr>
          <w:trHeight w:val="79"/>
          <w:jc w:val="center"/>
        </w:trPr>
        <w:tc>
          <w:tcPr>
            <w:tcW w:w="9630" w:type="dxa"/>
            <w:gridSpan w:val="3"/>
            <w:tcBorders>
              <w:left w:val="nil"/>
              <w:bottom w:val="single" w:sz="12" w:space="0" w:color="8496B0" w:themeColor="text2" w:themeTint="99"/>
              <w:right w:val="nil"/>
            </w:tcBorders>
          </w:tcPr>
          <w:p w14:paraId="10A8D21E" w14:textId="77777777" w:rsidR="00573A45" w:rsidRPr="00D27CF3" w:rsidRDefault="00573A45" w:rsidP="00855C71">
            <w:pPr>
              <w:rPr>
                <w:rFonts w:eastAsia="Times New Roman" w:cstheme="minorHAnsi"/>
                <w:sz w:val="8"/>
                <w:szCs w:val="8"/>
              </w:rPr>
            </w:pPr>
          </w:p>
        </w:tc>
      </w:tr>
      <w:tr w:rsidR="00573A45" w14:paraId="7BCE7F4F" w14:textId="77777777" w:rsidTr="008416BD">
        <w:trPr>
          <w:trHeight w:val="285"/>
          <w:jc w:val="center"/>
        </w:trPr>
        <w:tc>
          <w:tcPr>
            <w:tcW w:w="9630" w:type="dxa"/>
            <w:gridSpan w:val="3"/>
            <w:tcBorders>
              <w:bottom w:val="nil"/>
            </w:tcBorders>
            <w:shd w:val="clear" w:color="auto" w:fill="D9E2F3" w:themeFill="accent1" w:themeFillTint="33"/>
          </w:tcPr>
          <w:p w14:paraId="630CC42B" w14:textId="77777777" w:rsidR="00573A45" w:rsidRPr="00D27CF3" w:rsidRDefault="00573A45"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573A45" w14:paraId="54B1DA76" w14:textId="77777777" w:rsidTr="008416BD">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3BF6E3CC" w14:textId="77777777" w:rsidR="00573A45"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2115085049"/>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Vegetation management and inspections</w:t>
            </w:r>
          </w:p>
          <w:p w14:paraId="098DEABF" w14:textId="77777777" w:rsidR="00573A45"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687368621"/>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Grid design and system hardening</w:t>
            </w:r>
          </w:p>
          <w:p w14:paraId="24734880" w14:textId="77777777" w:rsidR="00573A45" w:rsidRPr="00D27CF3" w:rsidRDefault="00573A45"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75B1294B" w14:textId="77777777" w:rsidR="00573A4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474139451"/>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Resource allocation methodology incl. Risk Spend Efficiency</w:t>
            </w:r>
          </w:p>
          <w:p w14:paraId="288A1770" w14:textId="77777777" w:rsidR="00573A45"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1063406030"/>
                <w14:checkbox>
                  <w14:checked w14:val="1"/>
                  <w14:checkedState w14:val="2612" w14:font="MS Gothic"/>
                  <w14:uncheckedState w14:val="2610" w14:font="MS Gothic"/>
                </w14:checkbox>
              </w:sdtPr>
              <w:sdtEndPr/>
              <w:sdtContent>
                <w:r w:rsidR="00573A45" w:rsidRPr="00D27CF3">
                  <w:rPr>
                    <w:rFonts w:ascii="MS Gothic" w:eastAsia="MS Gothic" w:hAnsi="MS Gothic" w:cs="Segoe UI Symbol" w:hint="eastAsia"/>
                    <w:sz w:val="20"/>
                    <w:szCs w:val="20"/>
                  </w:rPr>
                  <w:t>☒</w:t>
                </w:r>
              </w:sdtContent>
            </w:sdt>
            <w:r w:rsidR="00573A45" w:rsidRPr="00D27CF3">
              <w:rPr>
                <w:rFonts w:ascii="Garamond" w:eastAsia="Times New Roman" w:hAnsi="Garamond"/>
                <w:sz w:val="20"/>
                <w:szCs w:val="20"/>
              </w:rPr>
              <w:t xml:space="preserve"> Communication with the community, planning, preparedness and recovery after PSPS events</w:t>
            </w:r>
          </w:p>
        </w:tc>
      </w:tr>
      <w:tr w:rsidR="00573A45" w14:paraId="6FC0B209" w14:textId="77777777" w:rsidTr="008416BD">
        <w:trPr>
          <w:trHeight w:val="43"/>
          <w:jc w:val="center"/>
        </w:trPr>
        <w:tc>
          <w:tcPr>
            <w:tcW w:w="9630" w:type="dxa"/>
            <w:gridSpan w:val="3"/>
            <w:tcBorders>
              <w:left w:val="nil"/>
              <w:bottom w:val="single" w:sz="12" w:space="0" w:color="8496B0" w:themeColor="text2" w:themeTint="99"/>
              <w:right w:val="nil"/>
            </w:tcBorders>
          </w:tcPr>
          <w:p w14:paraId="4616B23D" w14:textId="77777777" w:rsidR="00573A45" w:rsidRPr="00D27CF3" w:rsidRDefault="00573A45" w:rsidP="00855C71">
            <w:pPr>
              <w:spacing w:line="276" w:lineRule="auto"/>
              <w:rPr>
                <w:rFonts w:eastAsia="Times New Roman" w:cstheme="minorHAnsi"/>
                <w:sz w:val="8"/>
                <w:szCs w:val="8"/>
              </w:rPr>
            </w:pPr>
          </w:p>
        </w:tc>
      </w:tr>
      <w:tr w:rsidR="00573A45" w14:paraId="60FBE239" w14:textId="77777777" w:rsidTr="008416BD">
        <w:trPr>
          <w:trHeight w:val="43"/>
          <w:jc w:val="center"/>
        </w:trPr>
        <w:tc>
          <w:tcPr>
            <w:tcW w:w="9630" w:type="dxa"/>
            <w:gridSpan w:val="3"/>
            <w:tcBorders>
              <w:bottom w:val="nil"/>
            </w:tcBorders>
            <w:shd w:val="clear" w:color="auto" w:fill="D9E2F3" w:themeFill="accent1" w:themeFillTint="33"/>
          </w:tcPr>
          <w:p w14:paraId="4E7B0857" w14:textId="77777777" w:rsidR="00573A45" w:rsidRPr="007C7BDA" w:rsidRDefault="00573A45"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573A45" w14:paraId="1FA22147" w14:textId="77777777" w:rsidTr="008416BD">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3A227EC6" w14:textId="77777777" w:rsidR="00573A45"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50384907"/>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Risk assessment and mapping</w:t>
            </w:r>
          </w:p>
          <w:p w14:paraId="58663224" w14:textId="77777777" w:rsidR="00573A45"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695895987"/>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Situational awareness and forecasting</w:t>
            </w:r>
          </w:p>
          <w:p w14:paraId="639E8277" w14:textId="77777777" w:rsidR="00573A4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709154136"/>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Grid design and system hardening</w:t>
            </w:r>
          </w:p>
          <w:p w14:paraId="530004F1" w14:textId="77777777" w:rsidR="00573A4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4350194"/>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Asset management and inspections</w:t>
            </w:r>
          </w:p>
          <w:p w14:paraId="42CA791A" w14:textId="77777777" w:rsidR="00573A4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950128213"/>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6C94B555" w14:textId="77777777" w:rsidR="00573A4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03074448"/>
                <w14:checkbox>
                  <w14:checked w14:val="1"/>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Grid operations and protocols</w:t>
            </w:r>
          </w:p>
          <w:p w14:paraId="1FFD6462" w14:textId="77777777" w:rsidR="00573A4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713538986"/>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Data governance</w:t>
            </w:r>
          </w:p>
          <w:p w14:paraId="5700C9A9" w14:textId="77777777" w:rsidR="00573A4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577836212"/>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Resource allocation methodology [</w:t>
            </w:r>
          </w:p>
          <w:p w14:paraId="54452BDD" w14:textId="77777777" w:rsidR="00573A4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028459040"/>
                <w14:checkbox>
                  <w14:checked w14:val="1"/>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Emergency planning and preparedness</w:t>
            </w:r>
          </w:p>
          <w:p w14:paraId="7CB0A475" w14:textId="77777777" w:rsidR="00573A45" w:rsidRPr="00D27CF3" w:rsidRDefault="00E20D41" w:rsidP="00C115EF">
            <w:pPr>
              <w:spacing w:before="60" w:line="276" w:lineRule="auto"/>
              <w:ind w:left="360"/>
              <w:rPr>
                <w:rFonts w:ascii="Garamond" w:eastAsia="Times New Roman" w:hAnsi="Garamond"/>
                <w:sz w:val="20"/>
                <w:szCs w:val="20"/>
              </w:rPr>
            </w:pPr>
            <w:sdt>
              <w:sdtPr>
                <w:rPr>
                  <w:rFonts w:ascii="Garamond" w:eastAsia="Times New Roman" w:hAnsi="Garamond"/>
                  <w:sz w:val="20"/>
                  <w:szCs w:val="20"/>
                </w:rPr>
                <w:id w:val="-912550150"/>
                <w14:checkbox>
                  <w14:checked w14:val="0"/>
                  <w14:checkedState w14:val="2612" w14:font="MS Gothic"/>
                  <w14:uncheckedState w14:val="2610" w14:font="MS Gothic"/>
                </w14:checkbox>
              </w:sdtPr>
              <w:sdtEndPr/>
              <w:sdtContent>
                <w:r w:rsidR="00573A45" w:rsidRPr="00D27CF3">
                  <w:rPr>
                    <w:rFonts w:ascii="MS Gothic" w:eastAsia="MS Gothic" w:hAnsi="MS Gothic" w:hint="eastAsia"/>
                    <w:sz w:val="20"/>
                    <w:szCs w:val="20"/>
                  </w:rPr>
                  <w:t>☐</w:t>
                </w:r>
              </w:sdtContent>
            </w:sdt>
            <w:r w:rsidR="00573A45" w:rsidRPr="00D27CF3">
              <w:rPr>
                <w:rFonts w:ascii="Garamond" w:eastAsia="Times New Roman" w:hAnsi="Garamond"/>
                <w:sz w:val="20"/>
                <w:szCs w:val="20"/>
              </w:rPr>
              <w:t xml:space="preserve">  Stakeholder cooperation and community engagement XX</w:t>
            </w:r>
          </w:p>
        </w:tc>
      </w:tr>
      <w:tr w:rsidR="00573A45" w14:paraId="1620F352" w14:textId="77777777" w:rsidTr="008416BD">
        <w:trPr>
          <w:trHeight w:val="51"/>
          <w:jc w:val="center"/>
        </w:trPr>
        <w:tc>
          <w:tcPr>
            <w:tcW w:w="9630" w:type="dxa"/>
            <w:gridSpan w:val="3"/>
            <w:tcBorders>
              <w:left w:val="nil"/>
              <w:right w:val="nil"/>
            </w:tcBorders>
          </w:tcPr>
          <w:p w14:paraId="29E3758A" w14:textId="77777777" w:rsidR="00573A45" w:rsidRPr="007D218D" w:rsidRDefault="00573A45" w:rsidP="00855C71">
            <w:pPr>
              <w:rPr>
                <w:rFonts w:cstheme="minorHAnsi"/>
                <w:sz w:val="8"/>
                <w:szCs w:val="8"/>
              </w:rPr>
            </w:pPr>
          </w:p>
        </w:tc>
      </w:tr>
      <w:tr w:rsidR="00573A45" w14:paraId="2AADE2FA" w14:textId="77777777" w:rsidTr="008416BD">
        <w:trPr>
          <w:trHeight w:val="489"/>
          <w:jc w:val="center"/>
        </w:trPr>
        <w:tc>
          <w:tcPr>
            <w:tcW w:w="9630" w:type="dxa"/>
            <w:gridSpan w:val="3"/>
            <w:shd w:val="clear" w:color="auto" w:fill="D9E2F3" w:themeFill="accent1" w:themeFillTint="33"/>
          </w:tcPr>
          <w:p w14:paraId="09234F82" w14:textId="77777777" w:rsidR="00573A45" w:rsidRPr="00D95954" w:rsidRDefault="00573A45"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47" behindDoc="0" locked="0" layoutInCell="1" allowOverlap="1" wp14:anchorId="33044560" wp14:editId="45E6520F">
                  <wp:simplePos x="0" y="0"/>
                  <wp:positionH relativeFrom="leftMargin">
                    <wp:posOffset>59690</wp:posOffset>
                  </wp:positionH>
                  <wp:positionV relativeFrom="paragraph">
                    <wp:posOffset>37677</wp:posOffset>
                  </wp:positionV>
                  <wp:extent cx="245534" cy="194627"/>
                  <wp:effectExtent l="0" t="0" r="0" b="0"/>
                  <wp:wrapNone/>
                  <wp:docPr id="18" name="Graphic 18"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1356541036"/>
                <w14:checkbox>
                  <w14:checked w14:val="0"/>
                  <w14:checkedState w14:val="2612" w14:font="MS Gothic"/>
                  <w14:uncheckedState w14:val="2610" w14:font="MS Gothic"/>
                </w14:checkbox>
              </w:sdtPr>
              <w:sdtEndPr/>
              <w:sdtContent>
                <w:r w:rsidRPr="00BF7E3D">
                  <w:rPr>
                    <w:rFonts w:ascii="Segoe UI Symbol" w:hAnsi="Segoe UI Symbol" w:cs="Segoe UI Symbol"/>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20820512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173530411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Mid Term </w:t>
            </w:r>
            <w:r>
              <w:rPr>
                <w:rFonts w:ascii="Garamond" w:hAnsi="Garamond"/>
              </w:rPr>
              <w:t xml:space="preserve">    </w:t>
            </w:r>
            <w:sdt>
              <w:sdtPr>
                <w:rPr>
                  <w:rFonts w:ascii="Garamond" w:hAnsi="Garamond"/>
                </w:rPr>
                <w:id w:val="-169868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tbl>
    <w:p w14:paraId="6BE965DD" w14:textId="77777777" w:rsidR="00573A45" w:rsidRDefault="00573A45" w:rsidP="00855C71">
      <w:pPr>
        <w:spacing w:after="0"/>
        <w:rPr>
          <w:rFonts w:ascii="Century Gothic" w:hAnsi="Century Gothic"/>
        </w:rPr>
      </w:pPr>
    </w:p>
    <w:p w14:paraId="73F5AF57" w14:textId="77777777" w:rsidR="00573A45" w:rsidRDefault="00573A45" w:rsidP="00855C71">
      <w:pPr>
        <w:rPr>
          <w:rFonts w:ascii="Century Gothic" w:hAnsi="Century Gothic"/>
        </w:rPr>
      </w:pPr>
      <w:r>
        <w:rPr>
          <w:rFonts w:ascii="Century Gothic" w:hAnsi="Century Gothic"/>
        </w:rPr>
        <w:t>Issue/Metric:</w:t>
      </w:r>
    </w:p>
    <w:p w14:paraId="335497B7" w14:textId="33E3781E" w:rsidR="00573A45" w:rsidRPr="00D27CF3" w:rsidRDefault="00A1630C" w:rsidP="00C115EF">
      <w:pPr>
        <w:pStyle w:val="ListParagraph"/>
        <w:numPr>
          <w:ilvl w:val="0"/>
          <w:numId w:val="12"/>
        </w:numPr>
        <w:spacing w:after="0"/>
        <w:ind w:left="720"/>
        <w:contextualSpacing w:val="0"/>
        <w:rPr>
          <w:rFonts w:ascii="Century Gothic" w:hAnsi="Century Gothic"/>
          <w:sz w:val="24"/>
          <w:szCs w:val="24"/>
        </w:rPr>
      </w:pPr>
      <w:r w:rsidRPr="00D27CF3">
        <w:rPr>
          <w:rFonts w:ascii="Garamond" w:eastAsia="Times New Roman" w:hAnsi="Garamond"/>
          <w:sz w:val="24"/>
          <w:szCs w:val="24"/>
        </w:rPr>
        <w:t xml:space="preserve">Oversight </w:t>
      </w:r>
      <w:r w:rsidR="009D154C">
        <w:rPr>
          <w:rFonts w:ascii="Garamond" w:eastAsia="Times New Roman" w:hAnsi="Garamond"/>
          <w:sz w:val="24"/>
          <w:szCs w:val="24"/>
        </w:rPr>
        <w:t>of utility</w:t>
      </w:r>
      <w:r w:rsidR="00BA341D" w:rsidRPr="00D27CF3">
        <w:rPr>
          <w:rFonts w:ascii="Garamond" w:eastAsia="Times New Roman" w:hAnsi="Garamond"/>
          <w:sz w:val="24"/>
          <w:szCs w:val="24"/>
        </w:rPr>
        <w:t xml:space="preserve"> p</w:t>
      </w:r>
      <w:r w:rsidR="00573A45" w:rsidRPr="00D27CF3">
        <w:rPr>
          <w:rFonts w:ascii="Garamond" w:eastAsia="Times New Roman" w:hAnsi="Garamond"/>
          <w:sz w:val="24"/>
          <w:szCs w:val="24"/>
        </w:rPr>
        <w:t xml:space="preserve">ilots testing emerging technology and </w:t>
      </w:r>
      <w:r w:rsidR="0088102C">
        <w:rPr>
          <w:rFonts w:ascii="Garamond" w:eastAsia="Times New Roman" w:hAnsi="Garamond"/>
          <w:sz w:val="24"/>
          <w:szCs w:val="24"/>
        </w:rPr>
        <w:t xml:space="preserve">emergency </w:t>
      </w:r>
      <w:r w:rsidR="00573A45" w:rsidRPr="00D27CF3">
        <w:rPr>
          <w:rFonts w:ascii="Garamond" w:eastAsia="Times New Roman" w:hAnsi="Garamond"/>
          <w:sz w:val="24"/>
          <w:szCs w:val="24"/>
        </w:rPr>
        <w:t xml:space="preserve">resiliency measures.  </w:t>
      </w:r>
    </w:p>
    <w:p w14:paraId="4F4D0BBD" w14:textId="77777777" w:rsidR="00573A45" w:rsidRDefault="00573A45" w:rsidP="00855C71">
      <w:pPr>
        <w:spacing w:after="0"/>
        <w:rPr>
          <w:rFonts w:ascii="Century Gothic" w:hAnsi="Century Gothic"/>
        </w:rPr>
      </w:pPr>
    </w:p>
    <w:p w14:paraId="59C83DB5" w14:textId="3D3297B0" w:rsidR="00573A45" w:rsidRDefault="00573A45" w:rsidP="00855C71">
      <w:pPr>
        <w:rPr>
          <w:rFonts w:ascii="Century Gothic" w:hAnsi="Century Gothic"/>
        </w:rPr>
      </w:pPr>
      <w:r>
        <w:rPr>
          <w:rFonts w:ascii="Century Gothic" w:hAnsi="Century Gothic"/>
        </w:rPr>
        <w:t>Current WMP Requirement</w:t>
      </w:r>
      <w:r w:rsidR="00997EAC">
        <w:rPr>
          <w:rFonts w:ascii="Century Gothic" w:hAnsi="Century Gothic"/>
        </w:rPr>
        <w:t>s</w:t>
      </w:r>
      <w:r>
        <w:rPr>
          <w:rFonts w:ascii="Century Gothic" w:hAnsi="Century Gothic"/>
        </w:rPr>
        <w:t>:</w:t>
      </w:r>
    </w:p>
    <w:p w14:paraId="71F41FBE" w14:textId="38D3619B" w:rsidR="00573A45" w:rsidRPr="00D27CF3" w:rsidRDefault="00573A45" w:rsidP="00C115EF">
      <w:pPr>
        <w:pStyle w:val="ListParagraph"/>
        <w:numPr>
          <w:ilvl w:val="0"/>
          <w:numId w:val="13"/>
        </w:numPr>
        <w:ind w:left="720"/>
        <w:contextualSpacing w:val="0"/>
        <w:rPr>
          <w:sz w:val="24"/>
          <w:szCs w:val="24"/>
        </w:rPr>
      </w:pPr>
      <w:r w:rsidRPr="00D27CF3">
        <w:rPr>
          <w:rFonts w:ascii="Garamond" w:eastAsia="Times New Roman" w:hAnsi="Garamond"/>
          <w:sz w:val="24"/>
          <w:szCs w:val="24"/>
        </w:rPr>
        <w:t xml:space="preserve">Section 5.1 of </w:t>
      </w:r>
      <w:r w:rsidR="00EA3AE1">
        <w:rPr>
          <w:rFonts w:ascii="Garamond" w:eastAsia="Times New Roman" w:hAnsi="Garamond"/>
          <w:sz w:val="24"/>
          <w:szCs w:val="24"/>
        </w:rPr>
        <w:t xml:space="preserve">the 2020 </w:t>
      </w:r>
      <w:r w:rsidRPr="00D27CF3">
        <w:rPr>
          <w:rFonts w:ascii="Garamond" w:eastAsia="Times New Roman" w:hAnsi="Garamond"/>
          <w:sz w:val="24"/>
          <w:szCs w:val="24"/>
        </w:rPr>
        <w:t xml:space="preserve">WMP Guidelines encourages </w:t>
      </w:r>
      <w:r w:rsidR="00AA1905" w:rsidRPr="00D27CF3">
        <w:rPr>
          <w:rFonts w:ascii="Garamond" w:eastAsia="Times New Roman" w:hAnsi="Garamond"/>
          <w:sz w:val="24"/>
          <w:szCs w:val="24"/>
        </w:rPr>
        <w:t xml:space="preserve">utilities to </w:t>
      </w:r>
      <w:r w:rsidRPr="00D27CF3">
        <w:rPr>
          <w:rFonts w:ascii="Garamond" w:eastAsia="Times New Roman" w:hAnsi="Garamond"/>
          <w:sz w:val="24"/>
          <w:szCs w:val="24"/>
        </w:rPr>
        <w:t>use new and emerging technologies</w:t>
      </w:r>
      <w:r w:rsidR="00AA1905" w:rsidRPr="00D27CF3">
        <w:rPr>
          <w:rFonts w:ascii="Garamond" w:eastAsia="Times New Roman" w:hAnsi="Garamond"/>
          <w:sz w:val="24"/>
          <w:szCs w:val="24"/>
        </w:rPr>
        <w:t>.</w:t>
      </w:r>
      <w:r w:rsidRPr="00D27CF3">
        <w:rPr>
          <w:rFonts w:ascii="Garamond" w:eastAsia="Times New Roman" w:hAnsi="Garamond"/>
          <w:sz w:val="24"/>
          <w:szCs w:val="24"/>
        </w:rPr>
        <w:t xml:space="preserve"> </w:t>
      </w:r>
    </w:p>
    <w:p w14:paraId="3D72B7CE" w14:textId="1FC06C10" w:rsidR="00573A45" w:rsidRPr="00D27CF3" w:rsidRDefault="00573A45" w:rsidP="00C115EF">
      <w:pPr>
        <w:pStyle w:val="ListParagraph"/>
        <w:numPr>
          <w:ilvl w:val="0"/>
          <w:numId w:val="13"/>
        </w:numPr>
        <w:spacing w:after="0"/>
        <w:ind w:left="720"/>
        <w:contextualSpacing w:val="0"/>
        <w:rPr>
          <w:rFonts w:ascii="Century Gothic" w:eastAsia="Times New Roman" w:hAnsi="Century Gothic"/>
          <w:sz w:val="24"/>
          <w:szCs w:val="24"/>
        </w:rPr>
      </w:pPr>
      <w:r w:rsidRPr="00D27CF3">
        <w:rPr>
          <w:rFonts w:ascii="Garamond" w:eastAsia="Times New Roman" w:hAnsi="Garamond"/>
          <w:sz w:val="24"/>
          <w:szCs w:val="24"/>
        </w:rPr>
        <w:t xml:space="preserve">On March 9, 2020, CPUC Executive Director </w:t>
      </w:r>
      <w:r w:rsidR="00AA1905" w:rsidRPr="00D27CF3">
        <w:rPr>
          <w:rFonts w:ascii="Garamond" w:eastAsia="Times New Roman" w:hAnsi="Garamond"/>
          <w:sz w:val="24"/>
          <w:szCs w:val="24"/>
        </w:rPr>
        <w:t xml:space="preserve">Alice Stebbins </w:t>
      </w:r>
      <w:r w:rsidRPr="00D27CF3">
        <w:rPr>
          <w:rFonts w:ascii="Garamond" w:eastAsia="Times New Roman" w:hAnsi="Garamond"/>
          <w:sz w:val="24"/>
          <w:szCs w:val="24"/>
        </w:rPr>
        <w:t xml:space="preserve">sent a letter to the utilities directing </w:t>
      </w:r>
      <w:r w:rsidR="00AA1905" w:rsidRPr="00D27CF3">
        <w:rPr>
          <w:rFonts w:ascii="Garamond" w:eastAsia="Times New Roman" w:hAnsi="Garamond"/>
          <w:sz w:val="24"/>
          <w:szCs w:val="24"/>
        </w:rPr>
        <w:t xml:space="preserve">that they </w:t>
      </w:r>
      <w:r w:rsidRPr="00D27CF3">
        <w:rPr>
          <w:rFonts w:ascii="Garamond" w:eastAsia="Times New Roman" w:hAnsi="Garamond"/>
          <w:sz w:val="24"/>
          <w:szCs w:val="24"/>
        </w:rPr>
        <w:t>prepar</w:t>
      </w:r>
      <w:r w:rsidR="00AA1905" w:rsidRPr="00D27CF3">
        <w:rPr>
          <w:rFonts w:ascii="Garamond" w:eastAsia="Times New Roman" w:hAnsi="Garamond"/>
          <w:sz w:val="24"/>
          <w:szCs w:val="24"/>
        </w:rPr>
        <w:t>e</w:t>
      </w:r>
      <w:r w:rsidRPr="00D27CF3">
        <w:rPr>
          <w:rFonts w:ascii="Garamond" w:eastAsia="Times New Roman" w:hAnsi="Garamond"/>
          <w:sz w:val="24"/>
          <w:szCs w:val="24"/>
        </w:rPr>
        <w:t xml:space="preserve"> </w:t>
      </w:r>
      <w:r w:rsidR="00AA1905" w:rsidRPr="00D27CF3">
        <w:rPr>
          <w:rFonts w:ascii="Garamond" w:eastAsia="Times New Roman" w:hAnsi="Garamond"/>
          <w:sz w:val="24"/>
          <w:szCs w:val="24"/>
        </w:rPr>
        <w:t xml:space="preserve">to deploy </w:t>
      </w:r>
      <w:r w:rsidRPr="00D27CF3">
        <w:rPr>
          <w:rFonts w:ascii="Garamond" w:eastAsia="Times New Roman" w:hAnsi="Garamond"/>
          <w:sz w:val="24"/>
          <w:szCs w:val="24"/>
        </w:rPr>
        <w:t>microgrid</w:t>
      </w:r>
      <w:r w:rsidR="00AA1905" w:rsidRPr="00D27CF3">
        <w:rPr>
          <w:rFonts w:ascii="Garamond" w:eastAsia="Times New Roman" w:hAnsi="Garamond"/>
          <w:sz w:val="24"/>
          <w:szCs w:val="24"/>
        </w:rPr>
        <w:t xml:space="preserve">s </w:t>
      </w:r>
      <w:r w:rsidRPr="00D27CF3">
        <w:rPr>
          <w:rFonts w:ascii="Garamond" w:eastAsia="Times New Roman" w:hAnsi="Garamond"/>
          <w:sz w:val="24"/>
          <w:szCs w:val="24"/>
        </w:rPr>
        <w:t xml:space="preserve">for resiliency purposes as wildfire season quickly approaches.  </w:t>
      </w:r>
    </w:p>
    <w:p w14:paraId="7502365F" w14:textId="77777777" w:rsidR="00573A45" w:rsidRPr="00D27CF3" w:rsidRDefault="00573A45" w:rsidP="00855C71">
      <w:pPr>
        <w:spacing w:after="0"/>
        <w:rPr>
          <w:rFonts w:ascii="Garamond" w:eastAsia="Times New Roman" w:hAnsi="Garamond"/>
          <w:sz w:val="24"/>
          <w:szCs w:val="24"/>
        </w:rPr>
      </w:pPr>
    </w:p>
    <w:p w14:paraId="70ECC0DC" w14:textId="6E8CAFA9" w:rsidR="00573A45" w:rsidRPr="00D27CF3" w:rsidRDefault="00DC57C7" w:rsidP="00855C71">
      <w:pPr>
        <w:rPr>
          <w:rFonts w:ascii="Century Gothic" w:eastAsia="Times New Roman" w:hAnsi="Century Gothic"/>
        </w:rPr>
      </w:pPr>
      <w:r w:rsidRPr="00D27CF3">
        <w:rPr>
          <w:rFonts w:ascii="Century Gothic" w:eastAsia="Times New Roman" w:hAnsi="Century Gothic"/>
        </w:rPr>
        <w:t xml:space="preserve">Board </w:t>
      </w:r>
      <w:r w:rsidR="00573A45" w:rsidRPr="00D27CF3">
        <w:rPr>
          <w:rFonts w:ascii="Century Gothic" w:eastAsia="Times New Roman" w:hAnsi="Century Gothic"/>
        </w:rPr>
        <w:t>Recommendation</w:t>
      </w:r>
      <w:r w:rsidR="00997EAC" w:rsidRPr="00D27CF3">
        <w:rPr>
          <w:rFonts w:ascii="Century Gothic" w:eastAsia="Times New Roman" w:hAnsi="Century Gothic"/>
        </w:rPr>
        <w:t>s</w:t>
      </w:r>
      <w:r w:rsidR="00573A45" w:rsidRPr="00D27CF3">
        <w:rPr>
          <w:rFonts w:ascii="Century Gothic" w:eastAsia="Times New Roman" w:hAnsi="Century Gothic"/>
        </w:rPr>
        <w:t xml:space="preserve">: </w:t>
      </w:r>
    </w:p>
    <w:p w14:paraId="180A9911" w14:textId="5564480C" w:rsidR="00B75712" w:rsidRPr="00332434" w:rsidRDefault="0097723D" w:rsidP="00C115EF">
      <w:pPr>
        <w:pStyle w:val="ListParagraph"/>
        <w:numPr>
          <w:ilvl w:val="0"/>
          <w:numId w:val="11"/>
        </w:numPr>
        <w:spacing w:after="0"/>
        <w:contextualSpacing w:val="0"/>
        <w:rPr>
          <w:sz w:val="24"/>
          <w:szCs w:val="24"/>
        </w:rPr>
      </w:pPr>
      <w:r w:rsidRPr="00D27CF3">
        <w:rPr>
          <w:rFonts w:ascii="Garamond" w:eastAsia="Times New Roman" w:hAnsi="Garamond"/>
          <w:sz w:val="24"/>
          <w:szCs w:val="24"/>
        </w:rPr>
        <w:t>The Board recommends that t</w:t>
      </w:r>
      <w:r w:rsidR="00573A45" w:rsidRPr="00D27CF3">
        <w:rPr>
          <w:rFonts w:ascii="Garamond" w:eastAsia="Times New Roman" w:hAnsi="Garamond"/>
          <w:sz w:val="24"/>
          <w:szCs w:val="24"/>
        </w:rPr>
        <w:t>he Wildfire Safety Division consider requiring the utilities to submit pilot implementation plans</w:t>
      </w:r>
      <w:r w:rsidR="00623E30" w:rsidRPr="00D27CF3">
        <w:rPr>
          <w:rFonts w:ascii="Garamond" w:eastAsia="Times New Roman" w:hAnsi="Garamond"/>
          <w:sz w:val="24"/>
          <w:szCs w:val="24"/>
        </w:rPr>
        <w:t xml:space="preserve"> </w:t>
      </w:r>
      <w:r w:rsidR="00CA191D" w:rsidRPr="00D27CF3">
        <w:rPr>
          <w:rFonts w:ascii="Garamond" w:eastAsia="Times New Roman" w:hAnsi="Garamond"/>
          <w:sz w:val="24"/>
          <w:szCs w:val="24"/>
        </w:rPr>
        <w:t xml:space="preserve">for </w:t>
      </w:r>
      <w:r w:rsidR="007F3F16" w:rsidRPr="00D27CF3">
        <w:rPr>
          <w:rFonts w:ascii="Garamond" w:eastAsia="Times New Roman" w:hAnsi="Garamond"/>
          <w:sz w:val="24"/>
          <w:szCs w:val="24"/>
        </w:rPr>
        <w:t xml:space="preserve">all </w:t>
      </w:r>
      <w:r w:rsidR="00CA191D" w:rsidRPr="00D27CF3">
        <w:rPr>
          <w:rFonts w:ascii="Garamond" w:eastAsia="Times New Roman" w:hAnsi="Garamond"/>
          <w:sz w:val="24"/>
          <w:szCs w:val="24"/>
        </w:rPr>
        <w:t>new and emerging technolog</w:t>
      </w:r>
      <w:r w:rsidR="007F3F16" w:rsidRPr="00D27CF3">
        <w:rPr>
          <w:rFonts w:ascii="Garamond" w:eastAsia="Times New Roman" w:hAnsi="Garamond"/>
          <w:sz w:val="24"/>
          <w:szCs w:val="24"/>
        </w:rPr>
        <w:t>ies</w:t>
      </w:r>
      <w:r w:rsidR="00F93AE9">
        <w:rPr>
          <w:rFonts w:ascii="Garamond" w:eastAsia="Times New Roman" w:hAnsi="Garamond"/>
          <w:sz w:val="24"/>
          <w:szCs w:val="24"/>
        </w:rPr>
        <w:t xml:space="preserve"> for wildfire mitigation</w:t>
      </w:r>
      <w:r w:rsidR="00F4214C" w:rsidRPr="00D27CF3">
        <w:rPr>
          <w:rFonts w:ascii="Garamond" w:eastAsia="Times New Roman" w:hAnsi="Garamond"/>
          <w:sz w:val="24"/>
          <w:szCs w:val="24"/>
        </w:rPr>
        <w:t>.</w:t>
      </w:r>
      <w:r w:rsidR="00D94191" w:rsidRPr="00D27CF3">
        <w:rPr>
          <w:rFonts w:ascii="Garamond" w:eastAsia="Times New Roman" w:hAnsi="Garamond"/>
          <w:sz w:val="24"/>
          <w:szCs w:val="24"/>
        </w:rPr>
        <w:t xml:space="preserve"> </w:t>
      </w:r>
      <w:r w:rsidR="00FD0FDA" w:rsidRPr="00D27CF3">
        <w:rPr>
          <w:rFonts w:ascii="Garamond" w:eastAsia="Times New Roman" w:hAnsi="Garamond"/>
          <w:sz w:val="24"/>
          <w:szCs w:val="24"/>
        </w:rPr>
        <w:t xml:space="preserve"> </w:t>
      </w:r>
      <w:r w:rsidR="00F927F1" w:rsidRPr="00D27CF3">
        <w:rPr>
          <w:rFonts w:ascii="Garamond" w:eastAsia="Times New Roman" w:hAnsi="Garamond"/>
          <w:sz w:val="24"/>
          <w:szCs w:val="24"/>
        </w:rPr>
        <w:t>T</w:t>
      </w:r>
      <w:r w:rsidR="00061BB0" w:rsidRPr="00D27CF3">
        <w:rPr>
          <w:rFonts w:ascii="Garamond" w:eastAsia="Times New Roman" w:hAnsi="Garamond"/>
          <w:sz w:val="24"/>
          <w:szCs w:val="24"/>
        </w:rPr>
        <w:t xml:space="preserve">he Wildfire Safety Division should </w:t>
      </w:r>
      <w:r w:rsidR="00FD0FDA" w:rsidRPr="00D27CF3">
        <w:rPr>
          <w:rFonts w:ascii="Garamond" w:eastAsia="Times New Roman" w:hAnsi="Garamond"/>
          <w:sz w:val="24"/>
          <w:szCs w:val="24"/>
        </w:rPr>
        <w:t xml:space="preserve">consider developing </w:t>
      </w:r>
      <w:r w:rsidR="00061BB0" w:rsidRPr="00D27CF3">
        <w:rPr>
          <w:rFonts w:ascii="Garamond" w:eastAsia="Times New Roman" w:hAnsi="Garamond"/>
          <w:sz w:val="24"/>
          <w:szCs w:val="24"/>
        </w:rPr>
        <w:t xml:space="preserve">requirements and criteria to assess the reasonableness of the pilot implementation plans and the costs. </w:t>
      </w:r>
      <w:r w:rsidR="00B22B40" w:rsidRPr="00332434">
        <w:rPr>
          <w:rFonts w:ascii="Garamond" w:eastAsia="Times New Roman" w:hAnsi="Garamond"/>
          <w:sz w:val="24"/>
          <w:szCs w:val="24"/>
        </w:rPr>
        <w:t xml:space="preserve"> </w:t>
      </w:r>
      <w:r w:rsidR="00332434" w:rsidRPr="00D27CF3">
        <w:rPr>
          <w:rFonts w:ascii="Garamond" w:eastAsia="Times New Roman" w:hAnsi="Garamond"/>
          <w:sz w:val="24"/>
          <w:szCs w:val="24"/>
        </w:rPr>
        <w:t xml:space="preserve">The </w:t>
      </w:r>
      <w:r w:rsidR="00411EF6" w:rsidRPr="00D27CF3">
        <w:rPr>
          <w:rFonts w:ascii="Garamond" w:eastAsia="Times New Roman" w:hAnsi="Garamond"/>
          <w:sz w:val="24"/>
          <w:szCs w:val="24"/>
        </w:rPr>
        <w:t xml:space="preserve">pilots that the utilities are designing to </w:t>
      </w:r>
      <w:r w:rsidR="00B22B40" w:rsidRPr="00332434">
        <w:rPr>
          <w:rFonts w:ascii="Garamond" w:eastAsia="Times New Roman" w:hAnsi="Garamond"/>
          <w:sz w:val="24"/>
          <w:szCs w:val="24"/>
        </w:rPr>
        <w:t xml:space="preserve">reduce the impact of Public Safety Power Shutoff events </w:t>
      </w:r>
      <w:r w:rsidR="00411EF6" w:rsidRPr="00D27CF3">
        <w:rPr>
          <w:rFonts w:ascii="Garamond" w:eastAsia="Times New Roman" w:hAnsi="Garamond"/>
          <w:sz w:val="24"/>
          <w:szCs w:val="24"/>
        </w:rPr>
        <w:t>should also</w:t>
      </w:r>
      <w:r w:rsidR="00B22B40" w:rsidRPr="00332434">
        <w:rPr>
          <w:rFonts w:ascii="Garamond" w:eastAsia="Times New Roman" w:hAnsi="Garamond"/>
          <w:sz w:val="24"/>
          <w:szCs w:val="24"/>
        </w:rPr>
        <w:t xml:space="preserve"> align with state goals for resiliency and climate.</w:t>
      </w:r>
      <w:r w:rsidR="00B22B40" w:rsidRPr="00B22B40">
        <w:rPr>
          <w:vertAlign w:val="superscript"/>
        </w:rPr>
        <w:footnoteReference w:id="13"/>
      </w:r>
      <w:r w:rsidR="00411EF6" w:rsidRPr="00D27CF3">
        <w:rPr>
          <w:rFonts w:ascii="Garamond" w:eastAsia="Times New Roman" w:hAnsi="Garamond"/>
          <w:sz w:val="24"/>
          <w:szCs w:val="24"/>
        </w:rPr>
        <w:t xml:space="preserve">  </w:t>
      </w:r>
    </w:p>
    <w:p w14:paraId="70C4F672" w14:textId="77777777" w:rsidR="0088102C" w:rsidRDefault="0088102C" w:rsidP="00C115EF">
      <w:pPr>
        <w:spacing w:after="0"/>
        <w:rPr>
          <w:rFonts w:ascii="Century Gothic" w:eastAsia="Times New Roman" w:hAnsi="Century Gothic"/>
        </w:rPr>
      </w:pPr>
    </w:p>
    <w:p w14:paraId="734EE43A" w14:textId="77777777" w:rsidR="009B45E9" w:rsidRDefault="009B45E9" w:rsidP="00C115EF">
      <w:pPr>
        <w:spacing w:after="0"/>
        <w:rPr>
          <w:rFonts w:ascii="Century Gothic" w:eastAsia="Times New Roman" w:hAnsi="Century Gothic"/>
        </w:rPr>
      </w:pPr>
    </w:p>
    <w:p w14:paraId="0E2498F0" w14:textId="77777777" w:rsidR="009B45E9" w:rsidRPr="00D27CF3" w:rsidRDefault="009B45E9" w:rsidP="00C115EF">
      <w:pPr>
        <w:spacing w:after="0"/>
        <w:rPr>
          <w:rFonts w:ascii="Century Gothic" w:eastAsia="Times New Roman" w:hAnsi="Century Gothic"/>
        </w:rPr>
      </w:pPr>
    </w:p>
    <w:p w14:paraId="7E2F4B17" w14:textId="67629CF8" w:rsidR="00573A45" w:rsidRPr="00D27CF3" w:rsidRDefault="00997EAC" w:rsidP="00C115EF">
      <w:pPr>
        <w:rPr>
          <w:rFonts w:ascii="Century Gothic" w:eastAsia="Times New Roman" w:hAnsi="Century Gothic"/>
        </w:rPr>
      </w:pPr>
      <w:r w:rsidRPr="00D27CF3">
        <w:rPr>
          <w:rFonts w:ascii="Century Gothic" w:eastAsia="Times New Roman" w:hAnsi="Century Gothic"/>
        </w:rPr>
        <w:t>Observations</w:t>
      </w:r>
      <w:r w:rsidR="00573A45" w:rsidRPr="00D27CF3">
        <w:rPr>
          <w:rFonts w:ascii="Century Gothic" w:eastAsia="Times New Roman" w:hAnsi="Century Gothic"/>
        </w:rPr>
        <w:t>:</w:t>
      </w:r>
    </w:p>
    <w:p w14:paraId="7760BFA4" w14:textId="788ABE0A" w:rsidR="00573A45" w:rsidRPr="00D27CF3" w:rsidRDefault="00573A45" w:rsidP="00C115EF">
      <w:pPr>
        <w:pStyle w:val="ListParagraph"/>
        <w:numPr>
          <w:ilvl w:val="0"/>
          <w:numId w:val="11"/>
        </w:numPr>
        <w:contextualSpacing w:val="0"/>
      </w:pPr>
      <w:r w:rsidRPr="00D27CF3">
        <w:rPr>
          <w:rFonts w:ascii="Garamond" w:eastAsia="Times New Roman" w:hAnsi="Garamond"/>
          <w:sz w:val="24"/>
          <w:szCs w:val="24"/>
        </w:rPr>
        <w:t xml:space="preserve">The </w:t>
      </w:r>
      <w:r w:rsidR="00F63060" w:rsidRPr="00D27CF3">
        <w:rPr>
          <w:rFonts w:ascii="Garamond" w:eastAsia="Times New Roman" w:hAnsi="Garamond"/>
          <w:sz w:val="24"/>
          <w:szCs w:val="24"/>
        </w:rPr>
        <w:t>utilit</w:t>
      </w:r>
      <w:r w:rsidR="00F63060">
        <w:rPr>
          <w:rFonts w:ascii="Garamond" w:eastAsia="Times New Roman" w:hAnsi="Garamond"/>
          <w:sz w:val="24"/>
          <w:szCs w:val="24"/>
        </w:rPr>
        <w:t>ie</w:t>
      </w:r>
      <w:r w:rsidR="00F63060" w:rsidRPr="00D27CF3">
        <w:rPr>
          <w:rFonts w:ascii="Garamond" w:eastAsia="Times New Roman" w:hAnsi="Garamond"/>
          <w:sz w:val="24"/>
          <w:szCs w:val="24"/>
        </w:rPr>
        <w:t>s</w:t>
      </w:r>
      <w:r w:rsidR="008F5C5B">
        <w:rPr>
          <w:rFonts w:ascii="Garamond" w:eastAsia="Times New Roman" w:hAnsi="Garamond"/>
          <w:sz w:val="24"/>
          <w:szCs w:val="24"/>
        </w:rPr>
        <w:t>’</w:t>
      </w:r>
      <w:r w:rsidR="00F63060" w:rsidRPr="00D27CF3">
        <w:rPr>
          <w:rFonts w:ascii="Garamond" w:eastAsia="Times New Roman" w:hAnsi="Garamond"/>
          <w:sz w:val="24"/>
          <w:szCs w:val="24"/>
        </w:rPr>
        <w:t xml:space="preserve"> </w:t>
      </w:r>
      <w:r w:rsidRPr="00D27CF3">
        <w:rPr>
          <w:rFonts w:ascii="Garamond" w:eastAsia="Times New Roman" w:hAnsi="Garamond"/>
          <w:sz w:val="24"/>
          <w:szCs w:val="24"/>
        </w:rPr>
        <w:t>WMPs mention pilots frequently, but none of the plans include implementation details or details that would allow regulators to judge the expected effectiveness of the pilots.  The W</w:t>
      </w:r>
      <w:r w:rsidR="00C046A7">
        <w:rPr>
          <w:rFonts w:ascii="Garamond" w:eastAsia="Times New Roman" w:hAnsi="Garamond"/>
          <w:sz w:val="24"/>
          <w:szCs w:val="24"/>
        </w:rPr>
        <w:t xml:space="preserve">ildfire </w:t>
      </w:r>
      <w:r w:rsidRPr="00D27CF3">
        <w:rPr>
          <w:rFonts w:ascii="Garamond" w:eastAsia="Times New Roman" w:hAnsi="Garamond"/>
          <w:sz w:val="24"/>
          <w:szCs w:val="24"/>
        </w:rPr>
        <w:t>S</w:t>
      </w:r>
      <w:r w:rsidR="00C046A7">
        <w:rPr>
          <w:rFonts w:ascii="Garamond" w:eastAsia="Times New Roman" w:hAnsi="Garamond"/>
          <w:sz w:val="24"/>
          <w:szCs w:val="24"/>
        </w:rPr>
        <w:t xml:space="preserve">afety </w:t>
      </w:r>
      <w:r w:rsidRPr="00D27CF3">
        <w:rPr>
          <w:rFonts w:ascii="Garamond" w:eastAsia="Times New Roman" w:hAnsi="Garamond"/>
          <w:sz w:val="24"/>
          <w:szCs w:val="24"/>
        </w:rPr>
        <w:t>D</w:t>
      </w:r>
      <w:r w:rsidR="00C046A7">
        <w:rPr>
          <w:rFonts w:ascii="Garamond" w:eastAsia="Times New Roman" w:hAnsi="Garamond"/>
          <w:sz w:val="24"/>
          <w:szCs w:val="24"/>
        </w:rPr>
        <w:t>ivision</w:t>
      </w:r>
      <w:r w:rsidRPr="00D27CF3">
        <w:rPr>
          <w:rFonts w:ascii="Garamond" w:eastAsia="Times New Roman" w:hAnsi="Garamond"/>
          <w:sz w:val="24"/>
          <w:szCs w:val="24"/>
        </w:rPr>
        <w:t xml:space="preserve"> could look to the program</w:t>
      </w:r>
      <w:r w:rsidRPr="00D27CF3">
        <w:rPr>
          <w:rFonts w:ascii="Garamond" w:eastAsia="Garamond" w:hAnsi="Garamond" w:cs="Garamond"/>
          <w:sz w:val="24"/>
          <w:szCs w:val="24"/>
        </w:rPr>
        <w:t xml:space="preserve"> implementation plans submitted by utilities </w:t>
      </w:r>
      <w:r w:rsidR="009A50C3" w:rsidRPr="00D27CF3">
        <w:rPr>
          <w:rFonts w:ascii="Garamond" w:eastAsia="Times New Roman" w:hAnsi="Garamond"/>
          <w:sz w:val="24"/>
          <w:szCs w:val="24"/>
        </w:rPr>
        <w:t xml:space="preserve">with respect to new and emerging technology, including how success ought to be measured, a full report of the expected costs, and proposed cost recovery.  The CPUC should develop requirements and criteria to assess the reasonableness of the pilot implementation plans and the costs.  These pilot implementation plans should extend beyond microgrid development. </w:t>
      </w:r>
    </w:p>
    <w:p w14:paraId="55A4F462" w14:textId="25E6C96F" w:rsidR="00573A45" w:rsidRPr="00D27CF3" w:rsidRDefault="00573A45" w:rsidP="00C115EF">
      <w:pPr>
        <w:pStyle w:val="ListParagraph"/>
        <w:numPr>
          <w:ilvl w:val="0"/>
          <w:numId w:val="12"/>
        </w:numPr>
        <w:ind w:left="720"/>
        <w:contextualSpacing w:val="0"/>
        <w:rPr>
          <w:sz w:val="24"/>
          <w:szCs w:val="24"/>
        </w:rPr>
      </w:pPr>
      <w:r w:rsidRPr="00D27CF3">
        <w:rPr>
          <w:rFonts w:ascii="Garamond" w:eastAsia="Times New Roman" w:hAnsi="Garamond"/>
          <w:sz w:val="24"/>
          <w:szCs w:val="24"/>
        </w:rPr>
        <w:t xml:space="preserve">In addition to allowing the CPUC to judge the effectiveness of the pilots, pilot implementation plans will allow stakeholders to provide technical input based on industry knowledge.  </w:t>
      </w:r>
      <w:r w:rsidR="009A50C3" w:rsidRPr="00D27CF3">
        <w:rPr>
          <w:rFonts w:ascii="Garamond" w:eastAsia="Times New Roman" w:hAnsi="Garamond"/>
          <w:sz w:val="24"/>
          <w:szCs w:val="24"/>
        </w:rPr>
        <w:t>T</w:t>
      </w:r>
      <w:r w:rsidRPr="00D27CF3">
        <w:rPr>
          <w:rFonts w:ascii="Garamond" w:eastAsia="Times New Roman" w:hAnsi="Garamond"/>
          <w:sz w:val="24"/>
          <w:szCs w:val="24"/>
        </w:rPr>
        <w:t xml:space="preserve">ransparency regarding the costs of these pilots will allow the CPUC and ratepayer advocates to assess whether the benefits outweigh the cost of the pilots to ratepayers.  </w:t>
      </w:r>
    </w:p>
    <w:p w14:paraId="34402C8B" w14:textId="497A33C4" w:rsidR="00573A45" w:rsidRPr="00D27CF3" w:rsidRDefault="007F3084" w:rsidP="00C115EF">
      <w:pPr>
        <w:pStyle w:val="ListParagraph"/>
        <w:numPr>
          <w:ilvl w:val="0"/>
          <w:numId w:val="12"/>
        </w:numPr>
        <w:ind w:left="720"/>
        <w:contextualSpacing w:val="0"/>
        <w:rPr>
          <w:sz w:val="24"/>
          <w:szCs w:val="24"/>
        </w:rPr>
      </w:pPr>
      <w:r w:rsidRPr="00D27CF3">
        <w:rPr>
          <w:rFonts w:ascii="Garamond" w:eastAsia="Times New Roman" w:hAnsi="Garamond"/>
          <w:sz w:val="24"/>
          <w:szCs w:val="24"/>
        </w:rPr>
        <w:t>T</w:t>
      </w:r>
      <w:r w:rsidR="00573A45" w:rsidRPr="00D27CF3">
        <w:rPr>
          <w:rFonts w:ascii="Garamond" w:eastAsia="Times New Roman" w:hAnsi="Garamond"/>
          <w:sz w:val="24"/>
          <w:szCs w:val="24"/>
        </w:rPr>
        <w:t xml:space="preserve">he </w:t>
      </w:r>
      <w:r w:rsidR="000E2C2B" w:rsidRPr="00D27CF3">
        <w:rPr>
          <w:rFonts w:ascii="Garamond" w:eastAsia="Times New Roman" w:hAnsi="Garamond"/>
          <w:sz w:val="24"/>
          <w:szCs w:val="24"/>
        </w:rPr>
        <w:t>CPUC</w:t>
      </w:r>
      <w:r w:rsidR="00573A45" w:rsidRPr="00D27CF3">
        <w:rPr>
          <w:rFonts w:ascii="Garamond" w:eastAsia="Times New Roman" w:hAnsi="Garamond"/>
          <w:sz w:val="24"/>
          <w:szCs w:val="24"/>
        </w:rPr>
        <w:t xml:space="preserve"> </w:t>
      </w:r>
      <w:r w:rsidRPr="00D27CF3">
        <w:rPr>
          <w:rFonts w:ascii="Garamond" w:eastAsia="Times New Roman" w:hAnsi="Garamond"/>
          <w:sz w:val="24"/>
          <w:szCs w:val="24"/>
        </w:rPr>
        <w:t>could</w:t>
      </w:r>
      <w:r w:rsidR="00573A45" w:rsidRPr="00D27CF3">
        <w:rPr>
          <w:rFonts w:ascii="Garamond" w:eastAsia="Times New Roman" w:hAnsi="Garamond"/>
          <w:sz w:val="24"/>
          <w:szCs w:val="24"/>
        </w:rPr>
        <w:t xml:space="preserve"> consider requesting that the utilities submit pilot implementation plans as a</w:t>
      </w:r>
      <w:r w:rsidR="000E2C2B" w:rsidRPr="00D27CF3">
        <w:rPr>
          <w:rFonts w:ascii="Garamond" w:eastAsia="Times New Roman" w:hAnsi="Garamond"/>
          <w:sz w:val="24"/>
          <w:szCs w:val="24"/>
        </w:rPr>
        <w:t xml:space="preserve"> future</w:t>
      </w:r>
      <w:r w:rsidR="00573A45" w:rsidRPr="00D27CF3">
        <w:rPr>
          <w:rFonts w:ascii="Garamond" w:eastAsia="Times New Roman" w:hAnsi="Garamond"/>
          <w:sz w:val="24"/>
          <w:szCs w:val="24"/>
        </w:rPr>
        <w:t xml:space="preserve"> reporting requirement</w:t>
      </w:r>
      <w:r w:rsidR="000E2C2B" w:rsidRPr="00D27CF3">
        <w:rPr>
          <w:rFonts w:ascii="Garamond" w:eastAsia="Times New Roman" w:hAnsi="Garamond"/>
          <w:sz w:val="24"/>
          <w:szCs w:val="24"/>
        </w:rPr>
        <w:t xml:space="preserve"> and developing </w:t>
      </w:r>
      <w:r w:rsidR="00573A45" w:rsidRPr="00D27CF3">
        <w:rPr>
          <w:rFonts w:ascii="Garamond" w:eastAsia="Times New Roman" w:hAnsi="Garamond"/>
          <w:sz w:val="24"/>
          <w:szCs w:val="24"/>
        </w:rPr>
        <w:t xml:space="preserve">criteria that the division can use to judge the effectiveness of the pilots.  </w:t>
      </w:r>
    </w:p>
    <w:p w14:paraId="2EC6B0E9" w14:textId="5ACFFB00" w:rsidR="00573A45" w:rsidRPr="00D27CF3" w:rsidRDefault="00573A45" w:rsidP="00C115EF">
      <w:pPr>
        <w:pStyle w:val="ListParagraph"/>
        <w:numPr>
          <w:ilvl w:val="0"/>
          <w:numId w:val="12"/>
        </w:numPr>
        <w:spacing w:after="0"/>
        <w:ind w:left="720"/>
        <w:contextualSpacing w:val="0"/>
        <w:rPr>
          <w:rFonts w:ascii="Garamond" w:eastAsia="Times New Roman" w:hAnsi="Garamond"/>
          <w:sz w:val="24"/>
          <w:szCs w:val="24"/>
        </w:rPr>
      </w:pPr>
      <w:r w:rsidRPr="00D27CF3">
        <w:rPr>
          <w:rFonts w:ascii="Garamond" w:eastAsia="Times New Roman" w:hAnsi="Garamond"/>
          <w:sz w:val="24"/>
          <w:szCs w:val="24"/>
        </w:rPr>
        <w:t>It is appropriate to deploy generators in emergency conditions that utilize fossil fuels in the immediate term to reduce the impact of Public Safety Power Shutoff</w:t>
      </w:r>
      <w:r w:rsidR="00F65D3E">
        <w:rPr>
          <w:rFonts w:ascii="Garamond" w:eastAsia="Times New Roman" w:hAnsi="Garamond"/>
          <w:sz w:val="24"/>
          <w:szCs w:val="24"/>
        </w:rPr>
        <w:t xml:space="preserve"> (PSPS)</w:t>
      </w:r>
      <w:r w:rsidRPr="00D27CF3">
        <w:rPr>
          <w:rFonts w:ascii="Garamond" w:eastAsia="Times New Roman" w:hAnsi="Garamond"/>
          <w:sz w:val="24"/>
          <w:szCs w:val="24"/>
        </w:rPr>
        <w:t xml:space="preserve"> events.  However, increased fossil fuel use</w:t>
      </w:r>
      <w:r w:rsidR="00F65D3E">
        <w:rPr>
          <w:rFonts w:ascii="Garamond" w:eastAsia="Times New Roman" w:hAnsi="Garamond"/>
          <w:sz w:val="24"/>
          <w:szCs w:val="24"/>
        </w:rPr>
        <w:t xml:space="preserve"> for back-up generation</w:t>
      </w:r>
      <w:r w:rsidRPr="00D27CF3">
        <w:rPr>
          <w:rFonts w:ascii="Garamond" w:eastAsia="Times New Roman" w:hAnsi="Garamond"/>
          <w:sz w:val="24"/>
          <w:szCs w:val="24"/>
        </w:rPr>
        <w:t xml:space="preserve"> every fire season is not a solution that aligns with long-term state goals</w:t>
      </w:r>
      <w:r w:rsidR="00E1701A">
        <w:rPr>
          <w:rFonts w:ascii="Garamond" w:eastAsia="Times New Roman" w:hAnsi="Garamond"/>
          <w:sz w:val="24"/>
          <w:szCs w:val="24"/>
        </w:rPr>
        <w:t>.</w:t>
      </w:r>
      <w:r w:rsidRPr="00D27CF3">
        <w:rPr>
          <w:rFonts w:ascii="Garamond" w:eastAsia="Times New Roman" w:hAnsi="Garamond"/>
          <w:sz w:val="24"/>
          <w:szCs w:val="24"/>
        </w:rPr>
        <w:t xml:space="preserve">  The utilities </w:t>
      </w:r>
      <w:r w:rsidR="00B251B0">
        <w:rPr>
          <w:rFonts w:ascii="Garamond" w:eastAsia="Times New Roman" w:hAnsi="Garamond"/>
          <w:sz w:val="24"/>
          <w:szCs w:val="24"/>
        </w:rPr>
        <w:t>should</w:t>
      </w:r>
      <w:r w:rsidRPr="00D27CF3">
        <w:rPr>
          <w:rFonts w:ascii="Garamond" w:eastAsia="Times New Roman" w:hAnsi="Garamond"/>
          <w:sz w:val="24"/>
          <w:szCs w:val="24"/>
        </w:rPr>
        <w:t xml:space="preserve"> continue to actively move forward on alternative local generation plans (e.g. microgrids, customer cogeneration, localized voltage support, localized </w:t>
      </w:r>
      <w:r w:rsidR="002E4498" w:rsidRPr="00D27CF3">
        <w:rPr>
          <w:rFonts w:ascii="Garamond" w:eastAsia="Times New Roman" w:hAnsi="Garamond"/>
          <w:sz w:val="24"/>
          <w:szCs w:val="24"/>
        </w:rPr>
        <w:t>dynamic</w:t>
      </w:r>
      <w:r w:rsidR="002E4498">
        <w:rPr>
          <w:rFonts w:ascii="Garamond" w:eastAsia="Times New Roman" w:hAnsi="Garamond"/>
          <w:sz w:val="24"/>
          <w:szCs w:val="24"/>
        </w:rPr>
        <w:t>/transient</w:t>
      </w:r>
      <w:r w:rsidR="002E4498" w:rsidRPr="00D27CF3">
        <w:rPr>
          <w:rFonts w:ascii="Garamond" w:eastAsia="Times New Roman" w:hAnsi="Garamond"/>
          <w:sz w:val="24"/>
          <w:szCs w:val="24"/>
        </w:rPr>
        <w:t xml:space="preserve"> </w:t>
      </w:r>
      <w:r w:rsidRPr="00D27CF3">
        <w:rPr>
          <w:rFonts w:ascii="Garamond" w:eastAsia="Times New Roman" w:hAnsi="Garamond"/>
          <w:sz w:val="24"/>
          <w:szCs w:val="24"/>
        </w:rPr>
        <w:t>system stability support) that further state environmental goals while assisting the California Independent System Operator to maintain power system reliability.</w:t>
      </w:r>
      <w:r w:rsidR="000E2C2B" w:rsidRPr="00D27CF3">
        <w:rPr>
          <w:rFonts w:ascii="Garamond" w:eastAsia="Times New Roman" w:hAnsi="Garamond"/>
          <w:sz w:val="24"/>
          <w:szCs w:val="24"/>
        </w:rPr>
        <w:t xml:space="preserve">  This goal will be attained most quickly with e</w:t>
      </w:r>
      <w:r w:rsidRPr="00D27CF3">
        <w:rPr>
          <w:rFonts w:ascii="Garamond" w:eastAsia="Times New Roman" w:hAnsi="Garamond"/>
          <w:sz w:val="24"/>
          <w:szCs w:val="24"/>
        </w:rPr>
        <w:t xml:space="preserve">ffective </w:t>
      </w:r>
      <w:r w:rsidR="0010076F">
        <w:rPr>
          <w:rFonts w:ascii="Garamond" w:eastAsia="Times New Roman" w:hAnsi="Garamond"/>
          <w:sz w:val="24"/>
          <w:szCs w:val="24"/>
        </w:rPr>
        <w:t xml:space="preserve">pilots for microgrids and other </w:t>
      </w:r>
      <w:r w:rsidR="00AA364C">
        <w:rPr>
          <w:rFonts w:ascii="Garamond" w:eastAsia="Times New Roman" w:hAnsi="Garamond"/>
          <w:sz w:val="24"/>
          <w:szCs w:val="24"/>
        </w:rPr>
        <w:t xml:space="preserve">technologies </w:t>
      </w:r>
      <w:r w:rsidR="00AA364C" w:rsidRPr="00D27CF3">
        <w:rPr>
          <w:rFonts w:ascii="Garamond" w:eastAsia="Times New Roman" w:hAnsi="Garamond"/>
          <w:sz w:val="24"/>
          <w:szCs w:val="24"/>
        </w:rPr>
        <w:t>and</w:t>
      </w:r>
      <w:r w:rsidR="000E2C2B" w:rsidRPr="00D27CF3">
        <w:rPr>
          <w:rFonts w:ascii="Garamond" w:eastAsia="Times New Roman" w:hAnsi="Garamond"/>
          <w:sz w:val="24"/>
          <w:szCs w:val="24"/>
        </w:rPr>
        <w:t xml:space="preserve"> sharing results </w:t>
      </w:r>
      <w:r w:rsidR="00B75712" w:rsidRPr="00D27CF3">
        <w:rPr>
          <w:rFonts w:ascii="Garamond" w:eastAsia="Times New Roman" w:hAnsi="Garamond"/>
          <w:sz w:val="24"/>
          <w:szCs w:val="24"/>
        </w:rPr>
        <w:t xml:space="preserve">widely. </w:t>
      </w:r>
    </w:p>
    <w:p w14:paraId="25A0874F" w14:textId="77777777" w:rsidR="00BF2CFC" w:rsidRPr="00D27CF3" w:rsidRDefault="00BF2CFC" w:rsidP="00855C71">
      <w:pPr>
        <w:spacing w:after="0"/>
        <w:rPr>
          <w:rFonts w:ascii="Garamond" w:eastAsia="Times New Roman" w:hAnsi="Garamond"/>
          <w:sz w:val="24"/>
          <w:szCs w:val="24"/>
        </w:rPr>
      </w:pPr>
    </w:p>
    <w:p w14:paraId="177DA460" w14:textId="77777777" w:rsidR="00573A45" w:rsidRPr="00D27CF3" w:rsidRDefault="00573A45" w:rsidP="00855C71">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4A17C686" w14:textId="2D86F0EB" w:rsidR="00573A45" w:rsidRPr="00D27CF3" w:rsidRDefault="00573A45" w:rsidP="00C115EF">
      <w:pPr>
        <w:pStyle w:val="ListParagraph"/>
        <w:numPr>
          <w:ilvl w:val="0"/>
          <w:numId w:val="20"/>
        </w:numPr>
        <w:contextualSpacing w:val="0"/>
        <w:rPr>
          <w:sz w:val="24"/>
          <w:szCs w:val="24"/>
        </w:rPr>
      </w:pPr>
      <w:r w:rsidRPr="00D27CF3">
        <w:rPr>
          <w:rFonts w:ascii="Garamond" w:eastAsia="Garamond" w:hAnsi="Garamond" w:cs="Garamond"/>
          <w:sz w:val="24"/>
          <w:szCs w:val="24"/>
        </w:rPr>
        <w:t xml:space="preserve">Submission of </w:t>
      </w:r>
      <w:r w:rsidR="00E1701A" w:rsidRPr="00D27CF3">
        <w:rPr>
          <w:rFonts w:ascii="Garamond" w:eastAsia="Times New Roman" w:hAnsi="Garamond"/>
          <w:sz w:val="24"/>
          <w:szCs w:val="24"/>
        </w:rPr>
        <w:t>pilot implementation</w:t>
      </w:r>
      <w:r w:rsidR="00E1701A" w:rsidRPr="00D27CF3">
        <w:rPr>
          <w:rFonts w:ascii="Garamond" w:eastAsia="Garamond" w:hAnsi="Garamond" w:cs="Garamond"/>
          <w:sz w:val="24"/>
          <w:szCs w:val="24"/>
        </w:rPr>
        <w:t xml:space="preserve"> </w:t>
      </w:r>
      <w:r w:rsidRPr="00D27CF3">
        <w:rPr>
          <w:rFonts w:ascii="Garamond" w:eastAsia="Garamond" w:hAnsi="Garamond" w:cs="Garamond"/>
          <w:sz w:val="24"/>
          <w:szCs w:val="24"/>
        </w:rPr>
        <w:t xml:space="preserve">plans </w:t>
      </w:r>
      <w:r w:rsidR="00B75712" w:rsidRPr="00D27CF3">
        <w:rPr>
          <w:rFonts w:ascii="Garamond" w:eastAsia="Garamond" w:hAnsi="Garamond" w:cs="Garamond"/>
          <w:sz w:val="24"/>
          <w:szCs w:val="24"/>
        </w:rPr>
        <w:t xml:space="preserve">to the CPUC </w:t>
      </w:r>
      <w:r w:rsidRPr="00D27CF3">
        <w:rPr>
          <w:rFonts w:ascii="Garamond" w:eastAsia="Garamond" w:hAnsi="Garamond" w:cs="Garamond"/>
          <w:sz w:val="24"/>
          <w:szCs w:val="24"/>
        </w:rPr>
        <w:t>that include the goal of the pilot, the anticipated cost to develop and interconnect the pilot, and an outline of how success will be measured upon pilot completion.</w:t>
      </w:r>
      <w:r w:rsidR="00B75712" w:rsidRPr="00D27CF3">
        <w:rPr>
          <w:rFonts w:ascii="Garamond" w:eastAsia="Garamond" w:hAnsi="Garamond" w:cs="Garamond"/>
          <w:sz w:val="24"/>
          <w:szCs w:val="24"/>
        </w:rPr>
        <w:t xml:space="preserve"> </w:t>
      </w:r>
      <w:r w:rsidR="00297CB0">
        <w:rPr>
          <w:rFonts w:ascii="Garamond" w:eastAsia="Garamond" w:hAnsi="Garamond" w:cs="Garamond"/>
          <w:sz w:val="24"/>
          <w:szCs w:val="24"/>
        </w:rPr>
        <w:t xml:space="preserve"> </w:t>
      </w:r>
      <w:r w:rsidR="00B75712" w:rsidRPr="00D27CF3">
        <w:rPr>
          <w:rFonts w:ascii="Garamond" w:eastAsia="Times New Roman" w:hAnsi="Garamond"/>
          <w:sz w:val="24"/>
          <w:szCs w:val="24"/>
        </w:rPr>
        <w:t xml:space="preserve">After pilot completion, the utility should report on pilot results to the CPUC and even more broadly. </w:t>
      </w:r>
    </w:p>
    <w:p w14:paraId="4DBF466D" w14:textId="3A6C98E8" w:rsidR="00573A45" w:rsidRPr="00D27CF3" w:rsidRDefault="00573A45" w:rsidP="00C115EF">
      <w:pPr>
        <w:pStyle w:val="ListParagraph"/>
        <w:numPr>
          <w:ilvl w:val="0"/>
          <w:numId w:val="20"/>
        </w:numPr>
        <w:spacing w:after="0"/>
        <w:contextualSpacing w:val="0"/>
        <w:rPr>
          <w:sz w:val="24"/>
          <w:szCs w:val="24"/>
        </w:rPr>
      </w:pPr>
      <w:r w:rsidRPr="00D27CF3">
        <w:rPr>
          <w:rFonts w:ascii="Garamond" w:eastAsia="Garamond" w:hAnsi="Garamond" w:cs="Garamond"/>
          <w:sz w:val="24"/>
          <w:szCs w:val="24"/>
        </w:rPr>
        <w:t>Continued development of alternative generation to align with state emissions goals and PSPS events</w:t>
      </w:r>
      <w:r w:rsidR="00B75712" w:rsidRPr="00D27CF3">
        <w:rPr>
          <w:rFonts w:ascii="Garamond" w:eastAsia="Garamond" w:hAnsi="Garamond" w:cs="Garamond"/>
          <w:sz w:val="24"/>
          <w:szCs w:val="24"/>
        </w:rPr>
        <w:t xml:space="preserve"> duration reduction</w:t>
      </w:r>
      <w:r w:rsidRPr="00D27CF3">
        <w:rPr>
          <w:rFonts w:ascii="Garamond" w:eastAsia="Garamond" w:hAnsi="Garamond" w:cs="Garamond"/>
          <w:sz w:val="24"/>
          <w:szCs w:val="24"/>
        </w:rPr>
        <w:t xml:space="preserve">. </w:t>
      </w:r>
    </w:p>
    <w:p w14:paraId="6287E03D" w14:textId="21AF6016" w:rsidR="00306973" w:rsidRPr="008073C4" w:rsidRDefault="00573A45" w:rsidP="00C115EF">
      <w:r>
        <w:br w:type="page"/>
      </w:r>
    </w:p>
    <w:p w14:paraId="024CF755" w14:textId="4806B7A4" w:rsidR="008929F5" w:rsidRPr="008073C4" w:rsidRDefault="00A7113C" w:rsidP="00C115EF">
      <w:pPr>
        <w:pStyle w:val="Heading1"/>
      </w:pPr>
      <w:bookmarkStart w:id="9" w:name="_Toc36750065"/>
      <w:bookmarkStart w:id="10" w:name="_Toc36319415"/>
      <w:r w:rsidRPr="008073C4">
        <w:t>5</w:t>
      </w:r>
      <w:r w:rsidR="00922D8D" w:rsidRPr="008073C4">
        <w:t xml:space="preserve">. </w:t>
      </w:r>
      <w:r w:rsidR="00054C22" w:rsidRPr="008073C4">
        <w:t xml:space="preserve">Fuel </w:t>
      </w:r>
      <w:r w:rsidR="00BF232A" w:rsidRPr="008073C4">
        <w:t>Management</w:t>
      </w:r>
      <w:r w:rsidR="00B72658" w:rsidRPr="008073C4">
        <w:t xml:space="preserve">, </w:t>
      </w:r>
      <w:r w:rsidR="00BF232A" w:rsidRPr="008073C4">
        <w:t>Removal of</w:t>
      </w:r>
      <w:r w:rsidR="00054C22" w:rsidRPr="008073C4">
        <w:t xml:space="preserve"> At-Risk Species</w:t>
      </w:r>
      <w:r w:rsidR="00BF232A" w:rsidRPr="008073C4">
        <w:t>, and Scientific Review</w:t>
      </w:r>
      <w:bookmarkEnd w:id="9"/>
      <w:r w:rsidR="004E2427" w:rsidRPr="008073C4">
        <w:t xml:space="preserve"> </w:t>
      </w:r>
    </w:p>
    <w:bookmarkEnd w:id="10"/>
    <w:p w14:paraId="484E8B0B" w14:textId="77777777" w:rsidR="00EF413B" w:rsidRPr="00E066B2" w:rsidRDefault="00EF413B" w:rsidP="00C115EF">
      <w:pPr>
        <w:spacing w:after="0"/>
        <w:rPr>
          <w:sz w:val="8"/>
          <w:szCs w:val="8"/>
        </w:rPr>
      </w:pP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306973" w14:paraId="1C1711BA" w14:textId="77777777" w:rsidTr="00922D8D">
        <w:trPr>
          <w:trHeight w:val="436"/>
          <w:jc w:val="center"/>
        </w:trPr>
        <w:tc>
          <w:tcPr>
            <w:tcW w:w="6480" w:type="dxa"/>
            <w:gridSpan w:val="2"/>
            <w:tcBorders>
              <w:bottom w:val="single" w:sz="12" w:space="0" w:color="8496B0" w:themeColor="text2" w:themeTint="99"/>
            </w:tcBorders>
            <w:shd w:val="clear" w:color="auto" w:fill="D9E2F3" w:themeFill="accent1" w:themeFillTint="33"/>
          </w:tcPr>
          <w:p w14:paraId="08D4A738" w14:textId="77777777" w:rsidR="00306973" w:rsidRPr="007C7BDA" w:rsidRDefault="00306973" w:rsidP="00C115EF">
            <w:pPr>
              <w:spacing w:before="60"/>
              <w:ind w:left="432"/>
              <w:rPr>
                <w:rFonts w:ascii="Garamond" w:hAnsi="Garamond"/>
              </w:rPr>
            </w:pPr>
            <w:r w:rsidRPr="007C7BDA">
              <w:rPr>
                <w:b/>
                <w:bCs/>
                <w:noProof/>
              </w:rPr>
              <w:drawing>
                <wp:anchor distT="0" distB="0" distL="114300" distR="114300" simplePos="0" relativeHeight="251658250" behindDoc="0" locked="0" layoutInCell="1" allowOverlap="0" wp14:anchorId="14913A69" wp14:editId="227A8CA3">
                  <wp:simplePos x="0" y="0"/>
                  <wp:positionH relativeFrom="leftMargin">
                    <wp:posOffset>59690</wp:posOffset>
                  </wp:positionH>
                  <wp:positionV relativeFrom="paragraph">
                    <wp:posOffset>5927</wp:posOffset>
                  </wp:positionV>
                  <wp:extent cx="246888" cy="246888"/>
                  <wp:effectExtent l="0" t="0" r="1270" b="1270"/>
                  <wp:wrapNone/>
                  <wp:docPr id="26" name="Graphic 26"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1639385778"/>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1643108015"/>
                <w14:checkbox>
                  <w14:checked w14:val="0"/>
                  <w14:checkedState w14:val="2612" w14:font="MS Gothic"/>
                  <w14:uncheckedState w14:val="2610" w14:font="MS Gothic"/>
                </w14:checkbox>
              </w:sdtPr>
              <w:sdtEndPr/>
              <w:sdtContent>
                <w:r w:rsidRPr="007C7BDA">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1632905247"/>
                <w14:checkbox>
                  <w14:checked w14:val="1"/>
                  <w14:checkedState w14:val="2612" w14:font="MS Gothic"/>
                  <w14:uncheckedState w14:val="2610" w14:font="MS Gothic"/>
                </w14:checkbox>
              </w:sdtPr>
              <w:sdtEndPr/>
              <w:sdtContent>
                <w:r w:rsidRPr="00D27CF3">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1963763025"/>
                <w14:checkbox>
                  <w14:checked w14:val="1"/>
                  <w14:checkedState w14:val="2612" w14:font="MS Gothic"/>
                  <w14:uncheckedState w14:val="2610" w14:font="MS Gothic"/>
                </w14:checkbox>
              </w:sdtPr>
              <w:sdtEndPr/>
              <w:sdtContent>
                <w:r w:rsidRPr="00D27CF3">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611FCD62" w14:textId="0C69881F" w:rsidR="00306973" w:rsidRPr="007C7BDA" w:rsidRDefault="00306973" w:rsidP="00C115EF">
            <w:pPr>
              <w:spacing w:before="60"/>
              <w:ind w:left="-15"/>
              <w:rPr>
                <w:rFonts w:ascii="Garamond" w:hAnsi="Garamond"/>
              </w:rPr>
            </w:pPr>
            <w:r>
              <w:rPr>
                <w:rFonts w:ascii="Garamond" w:hAnsi="Garamond"/>
              </w:rPr>
              <w:t xml:space="preserve">    </w:t>
            </w:r>
            <w:r w:rsidR="00076ED6">
              <w:rPr>
                <w:rFonts w:ascii="Garamond" w:hAnsi="Garamond"/>
                <w:noProof/>
              </w:rPr>
              <w:drawing>
                <wp:anchor distT="0" distB="0" distL="114300" distR="114300" simplePos="0" relativeHeight="251658272" behindDoc="0" locked="0" layoutInCell="1" allowOverlap="1" wp14:anchorId="4797CA54" wp14:editId="2539D3C8">
                  <wp:simplePos x="0" y="0"/>
                  <wp:positionH relativeFrom="column">
                    <wp:posOffset>-1905</wp:posOffset>
                  </wp:positionH>
                  <wp:positionV relativeFrom="paragraph">
                    <wp:posOffset>1905</wp:posOffset>
                  </wp:positionV>
                  <wp:extent cx="295275" cy="295275"/>
                  <wp:effectExtent l="0" t="0" r="0" b="0"/>
                  <wp:wrapNone/>
                  <wp:docPr id="16" name="Graphic 16"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7064A3">
              <w:rPr>
                <w:rFonts w:ascii="Garamond" w:hAnsi="Garamond"/>
              </w:rPr>
              <w:t>5</w:t>
            </w:r>
          </w:p>
        </w:tc>
      </w:tr>
      <w:tr w:rsidR="00306973" w14:paraId="481E464B" w14:textId="77777777" w:rsidTr="00922D8D">
        <w:trPr>
          <w:trHeight w:val="79"/>
          <w:jc w:val="center"/>
        </w:trPr>
        <w:tc>
          <w:tcPr>
            <w:tcW w:w="9630" w:type="dxa"/>
            <w:gridSpan w:val="3"/>
            <w:tcBorders>
              <w:left w:val="nil"/>
              <w:bottom w:val="single" w:sz="12" w:space="0" w:color="8496B0" w:themeColor="text2" w:themeTint="99"/>
              <w:right w:val="nil"/>
            </w:tcBorders>
          </w:tcPr>
          <w:p w14:paraId="3C0FE057" w14:textId="77777777" w:rsidR="00306973" w:rsidRPr="00D27CF3" w:rsidRDefault="00306973" w:rsidP="00855C71">
            <w:pPr>
              <w:rPr>
                <w:rFonts w:eastAsia="Times New Roman" w:cstheme="minorHAnsi"/>
                <w:sz w:val="8"/>
                <w:szCs w:val="8"/>
              </w:rPr>
            </w:pPr>
          </w:p>
        </w:tc>
      </w:tr>
      <w:tr w:rsidR="00306973" w14:paraId="37E4633A" w14:textId="77777777" w:rsidTr="00922D8D">
        <w:trPr>
          <w:trHeight w:val="285"/>
          <w:jc w:val="center"/>
        </w:trPr>
        <w:tc>
          <w:tcPr>
            <w:tcW w:w="9630" w:type="dxa"/>
            <w:gridSpan w:val="3"/>
            <w:tcBorders>
              <w:bottom w:val="nil"/>
            </w:tcBorders>
            <w:shd w:val="clear" w:color="auto" w:fill="D9E2F3" w:themeFill="accent1" w:themeFillTint="33"/>
          </w:tcPr>
          <w:p w14:paraId="4C7B792C" w14:textId="77777777" w:rsidR="00306973" w:rsidRPr="00D27CF3" w:rsidRDefault="00306973"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306973" w14:paraId="321F47BA" w14:textId="77777777" w:rsidTr="00922D8D">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4FBF8488"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972177836"/>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p w14:paraId="014C34CB"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21047154"/>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63920BFD" w14:textId="77777777" w:rsidR="00306973" w:rsidRPr="00D27CF3" w:rsidRDefault="00306973"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74E2C43F"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196654487"/>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 incl. Risk Spend Efficiency</w:t>
            </w:r>
          </w:p>
          <w:p w14:paraId="3A8F9A4D" w14:textId="77777777" w:rsidR="00306973"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258034100"/>
                <w14:checkbox>
                  <w14:checked w14:val="0"/>
                  <w14:checkedState w14:val="2612" w14:font="MS Gothic"/>
                  <w14:uncheckedState w14:val="2610" w14:font="MS Gothic"/>
                </w14:checkbox>
              </w:sdtPr>
              <w:sdtEndPr/>
              <w:sdtContent>
                <w:r w:rsidR="00306973" w:rsidRPr="00D27CF3">
                  <w:rPr>
                    <w:rFonts w:ascii="MS Gothic" w:eastAsia="MS Gothic" w:hAnsi="MS Gothic" w:cs="Segoe UI Symbol" w:hint="eastAsia"/>
                    <w:sz w:val="20"/>
                    <w:szCs w:val="20"/>
                  </w:rPr>
                  <w:t>☐</w:t>
                </w:r>
              </w:sdtContent>
            </w:sdt>
            <w:r w:rsidR="00306973" w:rsidRPr="00D27CF3">
              <w:rPr>
                <w:rFonts w:ascii="Garamond" w:eastAsia="Times New Roman" w:hAnsi="Garamond"/>
                <w:sz w:val="20"/>
                <w:szCs w:val="20"/>
              </w:rPr>
              <w:t xml:space="preserve"> Communication with the community, planning, preparedness and recovery after PSPS events</w:t>
            </w:r>
          </w:p>
        </w:tc>
      </w:tr>
      <w:tr w:rsidR="00306973" w14:paraId="6D43B9BD" w14:textId="77777777" w:rsidTr="00922D8D">
        <w:trPr>
          <w:trHeight w:val="43"/>
          <w:jc w:val="center"/>
        </w:trPr>
        <w:tc>
          <w:tcPr>
            <w:tcW w:w="9630" w:type="dxa"/>
            <w:gridSpan w:val="3"/>
            <w:tcBorders>
              <w:left w:val="nil"/>
              <w:bottom w:val="single" w:sz="12" w:space="0" w:color="8496B0" w:themeColor="text2" w:themeTint="99"/>
              <w:right w:val="nil"/>
            </w:tcBorders>
          </w:tcPr>
          <w:p w14:paraId="750F768B" w14:textId="77777777" w:rsidR="00306973" w:rsidRPr="00D27CF3" w:rsidRDefault="00306973" w:rsidP="00855C71">
            <w:pPr>
              <w:spacing w:line="276" w:lineRule="auto"/>
              <w:rPr>
                <w:rFonts w:eastAsia="Times New Roman" w:cstheme="minorHAnsi"/>
                <w:sz w:val="8"/>
                <w:szCs w:val="8"/>
              </w:rPr>
            </w:pPr>
          </w:p>
        </w:tc>
      </w:tr>
      <w:tr w:rsidR="00306973" w14:paraId="6B54C415" w14:textId="77777777" w:rsidTr="00922D8D">
        <w:trPr>
          <w:trHeight w:val="43"/>
          <w:jc w:val="center"/>
        </w:trPr>
        <w:tc>
          <w:tcPr>
            <w:tcW w:w="9630" w:type="dxa"/>
            <w:gridSpan w:val="3"/>
            <w:tcBorders>
              <w:bottom w:val="nil"/>
            </w:tcBorders>
            <w:shd w:val="clear" w:color="auto" w:fill="D9E2F3" w:themeFill="accent1" w:themeFillTint="33"/>
          </w:tcPr>
          <w:p w14:paraId="5A39829E" w14:textId="77777777" w:rsidR="00306973" w:rsidRPr="007C7BDA" w:rsidRDefault="00306973"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306973" w14:paraId="744C0A38" w14:textId="77777777" w:rsidTr="00922D8D">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2DF34DEB"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741492819"/>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Risk assessment and mapping</w:t>
            </w:r>
          </w:p>
          <w:p w14:paraId="6A01069C"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783411803"/>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Situational awareness and forecasting</w:t>
            </w:r>
          </w:p>
          <w:p w14:paraId="4467917F"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484076182"/>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54459485"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6954811"/>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Asset management and inspections</w:t>
            </w:r>
          </w:p>
          <w:p w14:paraId="0C5F94ED"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466276346"/>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49E0FD12"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645191166"/>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operations and protocols</w:t>
            </w:r>
          </w:p>
          <w:p w14:paraId="5759857D"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089986151"/>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Data governance</w:t>
            </w:r>
          </w:p>
          <w:p w14:paraId="2062E01B"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507067347"/>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w:t>
            </w:r>
          </w:p>
          <w:p w14:paraId="0C3C4188"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282687575"/>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Emergency planning and preparedness</w:t>
            </w:r>
          </w:p>
          <w:p w14:paraId="7EAAAA16" w14:textId="77777777" w:rsidR="00306973" w:rsidRPr="009D23C5" w:rsidRDefault="00E20D41" w:rsidP="00C115EF">
            <w:pPr>
              <w:spacing w:before="60" w:line="276" w:lineRule="auto"/>
              <w:ind w:left="360"/>
              <w:rPr>
                <w:rFonts w:ascii="Garamond" w:hAnsi="Garamond"/>
                <w:b/>
                <w:bCs/>
                <w:sz w:val="20"/>
                <w:szCs w:val="20"/>
              </w:rPr>
            </w:pPr>
            <w:sdt>
              <w:sdtPr>
                <w:rPr>
                  <w:rFonts w:ascii="Garamond" w:eastAsia="Times New Roman" w:hAnsi="Garamond"/>
                  <w:sz w:val="20"/>
                  <w:szCs w:val="20"/>
                </w:rPr>
                <w:id w:val="1671359652"/>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Stakeholder cooperation and community engagement</w:t>
            </w:r>
          </w:p>
        </w:tc>
      </w:tr>
      <w:tr w:rsidR="00306973" w14:paraId="08C66FBF" w14:textId="77777777" w:rsidTr="00922D8D">
        <w:trPr>
          <w:trHeight w:val="51"/>
          <w:jc w:val="center"/>
        </w:trPr>
        <w:tc>
          <w:tcPr>
            <w:tcW w:w="9630" w:type="dxa"/>
            <w:gridSpan w:val="3"/>
            <w:tcBorders>
              <w:left w:val="nil"/>
              <w:right w:val="nil"/>
            </w:tcBorders>
          </w:tcPr>
          <w:p w14:paraId="24310CD8" w14:textId="77777777" w:rsidR="00306973" w:rsidRPr="007D218D" w:rsidRDefault="00306973" w:rsidP="00855C71">
            <w:pPr>
              <w:rPr>
                <w:rFonts w:cstheme="minorHAnsi"/>
                <w:sz w:val="8"/>
                <w:szCs w:val="8"/>
              </w:rPr>
            </w:pPr>
          </w:p>
        </w:tc>
      </w:tr>
      <w:tr w:rsidR="00306973" w14:paraId="50F47742" w14:textId="77777777" w:rsidTr="00922D8D">
        <w:trPr>
          <w:trHeight w:val="489"/>
          <w:jc w:val="center"/>
        </w:trPr>
        <w:tc>
          <w:tcPr>
            <w:tcW w:w="9630" w:type="dxa"/>
            <w:gridSpan w:val="3"/>
            <w:shd w:val="clear" w:color="auto" w:fill="D9E2F3" w:themeFill="accent1" w:themeFillTint="33"/>
          </w:tcPr>
          <w:p w14:paraId="3FB9AB7C" w14:textId="77777777" w:rsidR="00306973" w:rsidRPr="00D95954" w:rsidRDefault="00306973"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49" behindDoc="0" locked="0" layoutInCell="1" allowOverlap="1" wp14:anchorId="52720F6C" wp14:editId="7CC683A3">
                  <wp:simplePos x="0" y="0"/>
                  <wp:positionH relativeFrom="leftMargin">
                    <wp:posOffset>59690</wp:posOffset>
                  </wp:positionH>
                  <wp:positionV relativeFrom="paragraph">
                    <wp:posOffset>37677</wp:posOffset>
                  </wp:positionV>
                  <wp:extent cx="245534" cy="194627"/>
                  <wp:effectExtent l="0" t="0" r="0" b="0"/>
                  <wp:wrapNone/>
                  <wp:docPr id="27" name="Graphic 27"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954480941"/>
                <w14:checkbox>
                  <w14:checked w14:val="0"/>
                  <w14:checkedState w14:val="2612" w14:font="MS Gothic"/>
                  <w14:uncheckedState w14:val="2610" w14:font="MS Gothic"/>
                </w14:checkbox>
              </w:sdtPr>
              <w:sdtEndPr/>
              <w:sdtContent>
                <w:r w:rsidRPr="00BF7E3D">
                  <w:rPr>
                    <w:rFonts w:ascii="Segoe UI Symbol" w:hAnsi="Segoe UI Symbol" w:cs="Segoe UI Symbol"/>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43220595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2113504549"/>
                <w14:checkbox>
                  <w14:checked w14:val="0"/>
                  <w14:checkedState w14:val="2612" w14:font="MS Gothic"/>
                  <w14:uncheckedState w14:val="2610" w14:font="MS Gothic"/>
                </w14:checkbox>
              </w:sdtPr>
              <w:sdtEndPr/>
              <w:sdtContent>
                <w:r w:rsidRPr="00BF7E3D">
                  <w:rPr>
                    <w:rFonts w:ascii="Segoe UI Symbol" w:hAnsi="Segoe UI Symbol" w:cs="Segoe UI Symbol"/>
                  </w:rPr>
                  <w:t>☐</w:t>
                </w:r>
              </w:sdtContent>
            </w:sdt>
            <w:r w:rsidRPr="006705ED">
              <w:rPr>
                <w:rFonts w:ascii="Garamond" w:hAnsi="Garamond"/>
              </w:rPr>
              <w:t xml:space="preserve"> Mid Term </w:t>
            </w:r>
            <w:r>
              <w:rPr>
                <w:rFonts w:ascii="Garamond" w:hAnsi="Garamond"/>
              </w:rPr>
              <w:t xml:space="preserve">    </w:t>
            </w:r>
            <w:sdt>
              <w:sdtPr>
                <w:rPr>
                  <w:rFonts w:ascii="Garamond" w:hAnsi="Garamond"/>
                </w:rPr>
                <w:id w:val="-20277779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tbl>
    <w:p w14:paraId="4D8FF631" w14:textId="77777777" w:rsidR="00306973" w:rsidRDefault="00306973" w:rsidP="00855C71">
      <w:pPr>
        <w:spacing w:after="0"/>
        <w:rPr>
          <w:rFonts w:ascii="Century Gothic" w:hAnsi="Century Gothic"/>
        </w:rPr>
      </w:pPr>
    </w:p>
    <w:p w14:paraId="26E4A020" w14:textId="77777777" w:rsidR="00306973" w:rsidRDefault="00306973" w:rsidP="00855C71">
      <w:pPr>
        <w:rPr>
          <w:rFonts w:ascii="Century Gothic" w:hAnsi="Century Gothic"/>
        </w:rPr>
      </w:pPr>
      <w:r>
        <w:rPr>
          <w:rFonts w:ascii="Century Gothic" w:hAnsi="Century Gothic"/>
        </w:rPr>
        <w:t>Issue/Metric:</w:t>
      </w:r>
    </w:p>
    <w:p w14:paraId="2BDFBBCD" w14:textId="7CB2DE25" w:rsidR="00306973" w:rsidRPr="008073C4" w:rsidRDefault="00137F09" w:rsidP="00C115EF">
      <w:pPr>
        <w:pStyle w:val="ListParagraph"/>
        <w:numPr>
          <w:ilvl w:val="0"/>
          <w:numId w:val="11"/>
        </w:numPr>
        <w:spacing w:after="0"/>
        <w:ind w:left="360"/>
        <w:contextualSpacing w:val="0"/>
        <w:rPr>
          <w:rFonts w:ascii="Garamond" w:eastAsia="Times New Roman" w:hAnsi="Garamond"/>
          <w:sz w:val="24"/>
          <w:szCs w:val="24"/>
        </w:rPr>
      </w:pPr>
      <w:r w:rsidRPr="00143D8A">
        <w:rPr>
          <w:rFonts w:ascii="Garamond" w:eastAsia="Times New Roman" w:hAnsi="Garamond"/>
          <w:sz w:val="24"/>
          <w:szCs w:val="24"/>
        </w:rPr>
        <w:t xml:space="preserve">Fuel management </w:t>
      </w:r>
      <w:r w:rsidR="00810A22" w:rsidRPr="00143D8A">
        <w:rPr>
          <w:rFonts w:ascii="Garamond" w:eastAsia="Times New Roman" w:hAnsi="Garamond"/>
          <w:sz w:val="24"/>
          <w:szCs w:val="24"/>
        </w:rPr>
        <w:t>in non-forested areas</w:t>
      </w:r>
      <w:r w:rsidR="00733976" w:rsidRPr="00143D8A">
        <w:rPr>
          <w:rFonts w:ascii="Garamond" w:eastAsia="Times New Roman" w:hAnsi="Garamond"/>
          <w:sz w:val="24"/>
          <w:szCs w:val="24"/>
        </w:rPr>
        <w:t>;</w:t>
      </w:r>
      <w:r w:rsidR="00810A22" w:rsidRPr="00143D8A">
        <w:rPr>
          <w:rFonts w:ascii="Garamond" w:eastAsia="Times New Roman" w:hAnsi="Garamond"/>
          <w:sz w:val="24"/>
          <w:szCs w:val="24"/>
        </w:rPr>
        <w:t xml:space="preserve"> </w:t>
      </w:r>
      <w:r w:rsidR="000E488A" w:rsidRPr="00143D8A">
        <w:rPr>
          <w:rFonts w:ascii="Garamond" w:eastAsia="Times New Roman" w:hAnsi="Garamond"/>
          <w:sz w:val="24"/>
          <w:szCs w:val="24"/>
        </w:rPr>
        <w:t>I</w:t>
      </w:r>
      <w:r w:rsidR="001F5C39" w:rsidRPr="00143D8A">
        <w:rPr>
          <w:rFonts w:ascii="Garamond" w:eastAsia="Times New Roman" w:hAnsi="Garamond"/>
          <w:sz w:val="24"/>
          <w:szCs w:val="24"/>
        </w:rPr>
        <w:t>ncreas</w:t>
      </w:r>
      <w:r w:rsidR="00271464" w:rsidRPr="00143D8A">
        <w:rPr>
          <w:rFonts w:ascii="Garamond" w:eastAsia="Times New Roman" w:hAnsi="Garamond"/>
          <w:sz w:val="24"/>
          <w:szCs w:val="24"/>
        </w:rPr>
        <w:t>ing</w:t>
      </w:r>
      <w:r w:rsidR="001F5C39" w:rsidRPr="00143D8A">
        <w:rPr>
          <w:rFonts w:ascii="Garamond" w:eastAsia="Times New Roman" w:hAnsi="Garamond"/>
          <w:sz w:val="24"/>
          <w:szCs w:val="24"/>
        </w:rPr>
        <w:t xml:space="preserve"> fuel </w:t>
      </w:r>
      <w:r w:rsidR="00271464" w:rsidRPr="00143D8A">
        <w:rPr>
          <w:rFonts w:ascii="Garamond" w:eastAsia="Times New Roman" w:hAnsi="Garamond"/>
          <w:sz w:val="24"/>
          <w:szCs w:val="24"/>
        </w:rPr>
        <w:t>moisture retention;</w:t>
      </w:r>
      <w:r w:rsidR="002A7B04" w:rsidRPr="00143D8A">
        <w:rPr>
          <w:rFonts w:ascii="Garamond" w:eastAsia="Times New Roman" w:hAnsi="Garamond"/>
          <w:sz w:val="24"/>
          <w:szCs w:val="24"/>
        </w:rPr>
        <w:t xml:space="preserve"> </w:t>
      </w:r>
      <w:r w:rsidR="0065017A" w:rsidRPr="00143D8A">
        <w:rPr>
          <w:rFonts w:ascii="Garamond" w:eastAsia="Times New Roman" w:hAnsi="Garamond"/>
          <w:sz w:val="24"/>
          <w:szCs w:val="24"/>
        </w:rPr>
        <w:t xml:space="preserve">Justifying targeting at-risk species based on </w:t>
      </w:r>
      <w:r w:rsidR="00E4682D" w:rsidRPr="00143D8A">
        <w:rPr>
          <w:rFonts w:ascii="Garamond" w:eastAsia="Times New Roman" w:hAnsi="Garamond"/>
          <w:sz w:val="24"/>
          <w:szCs w:val="24"/>
        </w:rPr>
        <w:t>species and subspecies;</w:t>
      </w:r>
      <w:r w:rsidR="00C72E93" w:rsidRPr="00143D8A">
        <w:rPr>
          <w:rFonts w:ascii="Garamond" w:eastAsia="Times New Roman" w:hAnsi="Garamond"/>
          <w:sz w:val="24"/>
          <w:szCs w:val="24"/>
        </w:rPr>
        <w:t xml:space="preserve"> </w:t>
      </w:r>
      <w:r w:rsidR="003E41FC" w:rsidRPr="00143D8A">
        <w:rPr>
          <w:rFonts w:ascii="Garamond" w:eastAsia="Times New Roman" w:hAnsi="Garamond"/>
          <w:sz w:val="24"/>
          <w:szCs w:val="24"/>
        </w:rPr>
        <w:t xml:space="preserve">and Verifying </w:t>
      </w:r>
      <w:r w:rsidR="00BA4193" w:rsidRPr="00143D8A">
        <w:rPr>
          <w:rFonts w:ascii="Garamond" w:eastAsia="Times New Roman" w:hAnsi="Garamond"/>
          <w:sz w:val="24"/>
          <w:szCs w:val="24"/>
        </w:rPr>
        <w:t>utility plans comport with best practices</w:t>
      </w:r>
      <w:r w:rsidR="000E488A" w:rsidRPr="00143D8A">
        <w:rPr>
          <w:rFonts w:ascii="Garamond" w:eastAsia="Times New Roman" w:hAnsi="Garamond"/>
          <w:sz w:val="24"/>
          <w:szCs w:val="24"/>
        </w:rPr>
        <w:t xml:space="preserve">. </w:t>
      </w:r>
    </w:p>
    <w:p w14:paraId="41346896" w14:textId="77777777" w:rsidR="00306973" w:rsidRDefault="00306973" w:rsidP="00855C71">
      <w:pPr>
        <w:spacing w:after="0"/>
        <w:rPr>
          <w:rFonts w:ascii="Century Gothic" w:hAnsi="Century Gothic"/>
        </w:rPr>
      </w:pPr>
    </w:p>
    <w:p w14:paraId="129D166A" w14:textId="77777777" w:rsidR="00306973" w:rsidRDefault="00306973" w:rsidP="00855C71">
      <w:pPr>
        <w:rPr>
          <w:rFonts w:ascii="Century Gothic" w:hAnsi="Century Gothic"/>
        </w:rPr>
      </w:pPr>
      <w:r>
        <w:rPr>
          <w:rFonts w:ascii="Century Gothic" w:hAnsi="Century Gothic"/>
        </w:rPr>
        <w:t>Current WMP Requirement:</w:t>
      </w:r>
    </w:p>
    <w:p w14:paraId="2F71A4C5" w14:textId="10089EE7" w:rsidR="00306973" w:rsidRPr="00D27CF3" w:rsidRDefault="00BB191E"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Section 5.3.5 of the</w:t>
      </w:r>
      <w:r w:rsidRPr="00D27CF3" w:rsidDel="00BB191E">
        <w:rPr>
          <w:rFonts w:ascii="Garamond" w:eastAsia="Times New Roman" w:hAnsi="Garamond"/>
          <w:sz w:val="24"/>
          <w:szCs w:val="24"/>
        </w:rPr>
        <w:t xml:space="preserve"> </w:t>
      </w:r>
      <w:r w:rsidR="00EA3AE1">
        <w:rPr>
          <w:rFonts w:ascii="Garamond" w:eastAsia="Times New Roman" w:hAnsi="Garamond"/>
          <w:sz w:val="24"/>
          <w:szCs w:val="24"/>
        </w:rPr>
        <w:t xml:space="preserve">2020 </w:t>
      </w:r>
      <w:r w:rsidR="00306973" w:rsidRPr="00D27CF3">
        <w:rPr>
          <w:rFonts w:ascii="Garamond" w:eastAsia="Times New Roman" w:hAnsi="Garamond"/>
          <w:sz w:val="24"/>
          <w:szCs w:val="24"/>
        </w:rPr>
        <w:t>WMP Guidelines require the utilities to describe each utility’s vegetation treatment protocols relating to vegetation that could pose a grow-in or fall-in risk to utility equipment</w:t>
      </w:r>
      <w:r w:rsidR="00D50F32">
        <w:rPr>
          <w:rFonts w:ascii="Garamond" w:eastAsia="Times New Roman" w:hAnsi="Garamond"/>
          <w:sz w:val="24"/>
          <w:szCs w:val="24"/>
        </w:rPr>
        <w:t xml:space="preserve">.  </w:t>
      </w:r>
      <w:r w:rsidR="00306973" w:rsidRPr="00D27CF3">
        <w:rPr>
          <w:rFonts w:ascii="Garamond" w:eastAsia="Times New Roman" w:hAnsi="Garamond"/>
          <w:sz w:val="24"/>
          <w:szCs w:val="24"/>
        </w:rPr>
        <w:t>The WMPs must also include in the description the threshold by which the utility makes decisions of whether to (1) treat, or (2) remove vegetation.</w:t>
      </w:r>
    </w:p>
    <w:p w14:paraId="35CADF40" w14:textId="61190471" w:rsidR="00306973" w:rsidRPr="00D27CF3" w:rsidRDefault="00306973" w:rsidP="00C115EF">
      <w:pPr>
        <w:pStyle w:val="ListParagraph"/>
        <w:numPr>
          <w:ilvl w:val="0"/>
          <w:numId w:val="11"/>
        </w:numPr>
        <w:spacing w:after="0"/>
        <w:ind w:left="360"/>
        <w:contextualSpacing w:val="0"/>
        <w:rPr>
          <w:rFonts w:ascii="Century Gothic" w:eastAsia="Times New Roman" w:hAnsi="Century Gothic"/>
        </w:rPr>
      </w:pPr>
      <w:r w:rsidRPr="00D27CF3">
        <w:rPr>
          <w:rFonts w:ascii="Garamond" w:eastAsia="Times New Roman" w:hAnsi="Garamond"/>
          <w:sz w:val="24"/>
          <w:szCs w:val="24"/>
        </w:rPr>
        <w:t>Current trimming requirements are described in General Order 95, Rule 35, Appendix E</w:t>
      </w:r>
      <w:r w:rsidR="004E2427" w:rsidRPr="00D27CF3">
        <w:rPr>
          <w:rFonts w:ascii="Garamond" w:eastAsia="Times New Roman" w:hAnsi="Garamond"/>
          <w:sz w:val="24"/>
          <w:szCs w:val="24"/>
        </w:rPr>
        <w:t>.</w:t>
      </w:r>
      <w:r w:rsidR="0035002F" w:rsidRPr="00D27CF3">
        <w:rPr>
          <w:rStyle w:val="FootnoteReference"/>
          <w:rFonts w:ascii="Garamond" w:eastAsia="Times New Roman" w:hAnsi="Garamond"/>
          <w:sz w:val="24"/>
          <w:szCs w:val="24"/>
        </w:rPr>
        <w:footnoteReference w:id="14"/>
      </w:r>
    </w:p>
    <w:p w14:paraId="42E3713E" w14:textId="77777777" w:rsidR="00306973" w:rsidRPr="00D27CF3" w:rsidRDefault="00306973" w:rsidP="00855C71">
      <w:pPr>
        <w:spacing w:after="0"/>
        <w:rPr>
          <w:rFonts w:ascii="Century Gothic" w:eastAsia="Times New Roman" w:hAnsi="Century Gothic"/>
        </w:rPr>
      </w:pPr>
    </w:p>
    <w:p w14:paraId="2A7C2CF1" w14:textId="4F74B1E9" w:rsidR="00306973" w:rsidRPr="00D27CF3" w:rsidRDefault="00B80271" w:rsidP="00855C71">
      <w:pPr>
        <w:rPr>
          <w:rFonts w:ascii="Century Gothic" w:eastAsia="Times New Roman" w:hAnsi="Century Gothic"/>
        </w:rPr>
      </w:pPr>
      <w:r w:rsidRPr="00D27CF3">
        <w:rPr>
          <w:rFonts w:ascii="Century Gothic" w:eastAsia="Times New Roman" w:hAnsi="Century Gothic"/>
        </w:rPr>
        <w:t xml:space="preserve">Board </w:t>
      </w:r>
      <w:r w:rsidR="00306973" w:rsidRPr="00D27CF3">
        <w:rPr>
          <w:rFonts w:ascii="Century Gothic" w:eastAsia="Times New Roman" w:hAnsi="Century Gothic"/>
        </w:rPr>
        <w:t>Recommendation</w:t>
      </w:r>
      <w:r w:rsidR="00E066B2" w:rsidRPr="00D27CF3">
        <w:rPr>
          <w:rFonts w:ascii="Century Gothic" w:eastAsia="Times New Roman" w:hAnsi="Century Gothic"/>
        </w:rPr>
        <w:t>s</w:t>
      </w:r>
      <w:r w:rsidR="00306973" w:rsidRPr="00D27CF3">
        <w:rPr>
          <w:rFonts w:ascii="Century Gothic" w:eastAsia="Times New Roman" w:hAnsi="Century Gothic"/>
        </w:rPr>
        <w:t xml:space="preserve">: </w:t>
      </w:r>
    </w:p>
    <w:p w14:paraId="78D4F616" w14:textId="1F453C03" w:rsidR="00306973" w:rsidRDefault="00D01879" w:rsidP="00C115EF">
      <w:pPr>
        <w:pStyle w:val="ListParagraph"/>
        <w:numPr>
          <w:ilvl w:val="0"/>
          <w:numId w:val="11"/>
        </w:numPr>
        <w:spacing w:after="0"/>
        <w:ind w:left="360"/>
        <w:contextualSpacing w:val="0"/>
        <w:rPr>
          <w:rFonts w:ascii="Garamond" w:eastAsia="Times New Roman" w:hAnsi="Garamond"/>
          <w:sz w:val="24"/>
          <w:szCs w:val="24"/>
        </w:rPr>
      </w:pPr>
      <w:r>
        <w:rPr>
          <w:rFonts w:ascii="Garamond" w:eastAsia="Times New Roman" w:hAnsi="Garamond"/>
          <w:sz w:val="24"/>
          <w:szCs w:val="24"/>
        </w:rPr>
        <w:t xml:space="preserve">The </w:t>
      </w:r>
      <w:r w:rsidR="00306973" w:rsidRPr="00D27CF3">
        <w:rPr>
          <w:rFonts w:ascii="Garamond" w:eastAsia="Times New Roman" w:hAnsi="Garamond"/>
          <w:sz w:val="24"/>
          <w:szCs w:val="24"/>
        </w:rPr>
        <w:t>Wildfire Safety Division</w:t>
      </w:r>
      <w:r>
        <w:rPr>
          <w:rFonts w:ascii="Garamond" w:eastAsia="Times New Roman" w:hAnsi="Garamond"/>
          <w:sz w:val="24"/>
          <w:szCs w:val="24"/>
        </w:rPr>
        <w:t>, in its review</w:t>
      </w:r>
      <w:r w:rsidR="00CD3FA6">
        <w:rPr>
          <w:rFonts w:ascii="Garamond" w:eastAsia="Times New Roman" w:hAnsi="Garamond"/>
          <w:sz w:val="24"/>
          <w:szCs w:val="24"/>
        </w:rPr>
        <w:t>,</w:t>
      </w:r>
      <w:r>
        <w:rPr>
          <w:rFonts w:ascii="Garamond" w:eastAsia="Times New Roman" w:hAnsi="Garamond"/>
          <w:sz w:val="24"/>
          <w:szCs w:val="24"/>
        </w:rPr>
        <w:t xml:space="preserve"> should consider </w:t>
      </w:r>
      <w:r w:rsidR="00205F4C">
        <w:rPr>
          <w:rFonts w:ascii="Garamond" w:eastAsia="Times New Roman" w:hAnsi="Garamond"/>
          <w:sz w:val="24"/>
          <w:szCs w:val="24"/>
        </w:rPr>
        <w:t>the</w:t>
      </w:r>
      <w:r w:rsidR="004A7386">
        <w:rPr>
          <w:rFonts w:ascii="Garamond" w:eastAsia="Times New Roman" w:hAnsi="Garamond"/>
          <w:sz w:val="24"/>
          <w:szCs w:val="24"/>
        </w:rPr>
        <w:t xml:space="preserve"> sufficiency of </w:t>
      </w:r>
      <w:r w:rsidR="007D3F6E">
        <w:rPr>
          <w:rFonts w:ascii="Garamond" w:eastAsia="Times New Roman" w:hAnsi="Garamond"/>
          <w:sz w:val="24"/>
          <w:szCs w:val="24"/>
        </w:rPr>
        <w:t>the</w:t>
      </w:r>
      <w:r w:rsidR="006C7B94" w:rsidRPr="00D27CF3">
        <w:rPr>
          <w:rFonts w:ascii="Garamond" w:eastAsia="Times New Roman" w:hAnsi="Garamond"/>
          <w:sz w:val="24"/>
          <w:szCs w:val="24"/>
        </w:rPr>
        <w:t xml:space="preserve"> </w:t>
      </w:r>
      <w:r w:rsidR="00306973" w:rsidRPr="00D27CF3">
        <w:rPr>
          <w:rFonts w:ascii="Garamond" w:eastAsia="Times New Roman" w:hAnsi="Garamond"/>
          <w:sz w:val="24"/>
          <w:szCs w:val="24"/>
        </w:rPr>
        <w:t xml:space="preserve">information </w:t>
      </w:r>
      <w:r w:rsidR="007D3F6E">
        <w:rPr>
          <w:rFonts w:ascii="Garamond" w:eastAsia="Times New Roman" w:hAnsi="Garamond"/>
          <w:sz w:val="24"/>
          <w:szCs w:val="24"/>
        </w:rPr>
        <w:t xml:space="preserve">provided </w:t>
      </w:r>
      <w:r w:rsidR="00306973" w:rsidRPr="00D27CF3">
        <w:rPr>
          <w:rFonts w:ascii="Garamond" w:eastAsia="Times New Roman" w:hAnsi="Garamond"/>
          <w:sz w:val="24"/>
          <w:szCs w:val="24"/>
        </w:rPr>
        <w:t xml:space="preserve">about </w:t>
      </w:r>
      <w:r w:rsidR="007D3F6E">
        <w:rPr>
          <w:rFonts w:ascii="Garamond" w:eastAsia="Times New Roman" w:hAnsi="Garamond"/>
          <w:sz w:val="24"/>
          <w:szCs w:val="24"/>
        </w:rPr>
        <w:t xml:space="preserve">utility </w:t>
      </w:r>
      <w:r w:rsidR="00616F3C">
        <w:rPr>
          <w:rFonts w:ascii="Garamond" w:eastAsia="Times New Roman" w:hAnsi="Garamond"/>
          <w:sz w:val="24"/>
          <w:szCs w:val="24"/>
        </w:rPr>
        <w:t xml:space="preserve">vegetation treatment approaches including </w:t>
      </w:r>
      <w:r w:rsidR="005330B2">
        <w:rPr>
          <w:rFonts w:ascii="Garamond" w:eastAsia="Times New Roman" w:hAnsi="Garamond"/>
          <w:sz w:val="24"/>
          <w:szCs w:val="24"/>
        </w:rPr>
        <w:t>(</w:t>
      </w:r>
      <w:r w:rsidR="00B43486">
        <w:rPr>
          <w:rFonts w:ascii="Garamond" w:eastAsia="Times New Roman" w:hAnsi="Garamond"/>
          <w:sz w:val="24"/>
          <w:szCs w:val="24"/>
        </w:rPr>
        <w:t xml:space="preserve">1) </w:t>
      </w:r>
      <w:r w:rsidR="00A25FF1">
        <w:rPr>
          <w:rFonts w:ascii="Garamond" w:eastAsia="Times New Roman" w:hAnsi="Garamond"/>
          <w:sz w:val="24"/>
          <w:szCs w:val="24"/>
        </w:rPr>
        <w:t xml:space="preserve">whether </w:t>
      </w:r>
      <w:r w:rsidR="00F04539">
        <w:rPr>
          <w:rFonts w:ascii="Garamond" w:eastAsia="Times New Roman" w:hAnsi="Garamond"/>
          <w:sz w:val="24"/>
          <w:szCs w:val="24"/>
        </w:rPr>
        <w:t>vegetation treatment</w:t>
      </w:r>
      <w:r w:rsidR="0050668A">
        <w:rPr>
          <w:rFonts w:ascii="Garamond" w:eastAsia="Times New Roman" w:hAnsi="Garamond"/>
          <w:sz w:val="24"/>
          <w:szCs w:val="24"/>
        </w:rPr>
        <w:t xml:space="preserve"> in non-forested </w:t>
      </w:r>
      <w:r w:rsidR="001B09E8">
        <w:rPr>
          <w:rFonts w:ascii="Garamond" w:eastAsia="Times New Roman" w:hAnsi="Garamond"/>
          <w:sz w:val="24"/>
          <w:szCs w:val="24"/>
        </w:rPr>
        <w:t xml:space="preserve">areas </w:t>
      </w:r>
      <w:r w:rsidR="00A25FF1">
        <w:rPr>
          <w:rFonts w:ascii="Garamond" w:eastAsia="Times New Roman" w:hAnsi="Garamond"/>
          <w:sz w:val="24"/>
          <w:szCs w:val="24"/>
        </w:rPr>
        <w:t>is creating</w:t>
      </w:r>
      <w:r w:rsidR="00D5071D">
        <w:rPr>
          <w:rFonts w:ascii="Garamond" w:eastAsia="Times New Roman" w:hAnsi="Garamond"/>
          <w:sz w:val="24"/>
          <w:szCs w:val="24"/>
        </w:rPr>
        <w:t xml:space="preserve"> a </w:t>
      </w:r>
      <w:r w:rsidR="0052673D">
        <w:rPr>
          <w:rFonts w:ascii="Garamond" w:eastAsia="Times New Roman" w:hAnsi="Garamond"/>
          <w:sz w:val="24"/>
          <w:szCs w:val="24"/>
        </w:rPr>
        <w:t xml:space="preserve">more flammable environment, </w:t>
      </w:r>
      <w:r w:rsidR="00DA3C71">
        <w:rPr>
          <w:rFonts w:ascii="Garamond" w:eastAsia="Times New Roman" w:hAnsi="Garamond"/>
          <w:sz w:val="24"/>
          <w:szCs w:val="24"/>
        </w:rPr>
        <w:t xml:space="preserve">(2) </w:t>
      </w:r>
      <w:r w:rsidR="00A25FF1">
        <w:rPr>
          <w:rFonts w:ascii="Garamond" w:eastAsia="Times New Roman" w:hAnsi="Garamond"/>
          <w:sz w:val="24"/>
          <w:szCs w:val="24"/>
        </w:rPr>
        <w:t xml:space="preserve">whether </w:t>
      </w:r>
      <w:r w:rsidR="001B5549">
        <w:rPr>
          <w:rFonts w:ascii="Garamond" w:eastAsia="Times New Roman" w:hAnsi="Garamond"/>
          <w:sz w:val="24"/>
          <w:szCs w:val="24"/>
        </w:rPr>
        <w:t xml:space="preserve">the utilities have developed </w:t>
      </w:r>
      <w:r w:rsidR="00302740">
        <w:rPr>
          <w:rFonts w:ascii="Garamond" w:eastAsia="Times New Roman" w:hAnsi="Garamond"/>
          <w:sz w:val="24"/>
          <w:szCs w:val="24"/>
        </w:rPr>
        <w:t>programs to increase</w:t>
      </w:r>
      <w:r w:rsidR="0027544D">
        <w:rPr>
          <w:rFonts w:ascii="Garamond" w:eastAsia="Times New Roman" w:hAnsi="Garamond"/>
          <w:sz w:val="24"/>
          <w:szCs w:val="24"/>
        </w:rPr>
        <w:t xml:space="preserve"> </w:t>
      </w:r>
      <w:r w:rsidR="001B1840">
        <w:rPr>
          <w:rFonts w:ascii="Garamond" w:eastAsia="Times New Roman" w:hAnsi="Garamond"/>
          <w:sz w:val="24"/>
          <w:szCs w:val="24"/>
        </w:rPr>
        <w:t>fuel moisture retention</w:t>
      </w:r>
      <w:r w:rsidR="00603C71">
        <w:rPr>
          <w:rFonts w:ascii="Garamond" w:eastAsia="Times New Roman" w:hAnsi="Garamond"/>
          <w:sz w:val="24"/>
          <w:szCs w:val="24"/>
        </w:rPr>
        <w:t xml:space="preserve">, </w:t>
      </w:r>
      <w:r w:rsidR="00620C46">
        <w:rPr>
          <w:rFonts w:ascii="Garamond" w:eastAsia="Times New Roman" w:hAnsi="Garamond"/>
          <w:sz w:val="24"/>
          <w:szCs w:val="24"/>
        </w:rPr>
        <w:t xml:space="preserve">(3) </w:t>
      </w:r>
      <w:r w:rsidR="00A25FF1">
        <w:rPr>
          <w:rFonts w:ascii="Garamond" w:eastAsia="Times New Roman" w:hAnsi="Garamond"/>
          <w:sz w:val="24"/>
          <w:szCs w:val="24"/>
        </w:rPr>
        <w:t xml:space="preserve">whether </w:t>
      </w:r>
      <w:r w:rsidR="00EE0CF0">
        <w:rPr>
          <w:rFonts w:ascii="Garamond" w:eastAsia="Times New Roman" w:hAnsi="Garamond"/>
          <w:sz w:val="24"/>
          <w:szCs w:val="24"/>
        </w:rPr>
        <w:t xml:space="preserve">the plans </w:t>
      </w:r>
      <w:r w:rsidR="003A7DBF">
        <w:rPr>
          <w:rFonts w:ascii="Garamond" w:eastAsia="Times New Roman" w:hAnsi="Garamond"/>
          <w:sz w:val="24"/>
          <w:szCs w:val="24"/>
        </w:rPr>
        <w:t>justify</w:t>
      </w:r>
      <w:r w:rsidR="00501F29">
        <w:rPr>
          <w:rFonts w:ascii="Garamond" w:eastAsia="Times New Roman" w:hAnsi="Garamond"/>
          <w:sz w:val="24"/>
          <w:szCs w:val="24"/>
        </w:rPr>
        <w:t xml:space="preserve"> targeting </w:t>
      </w:r>
      <w:r w:rsidR="00931146">
        <w:rPr>
          <w:rFonts w:ascii="Garamond" w:eastAsia="Times New Roman" w:hAnsi="Garamond"/>
          <w:sz w:val="24"/>
          <w:szCs w:val="24"/>
        </w:rPr>
        <w:t xml:space="preserve">certain </w:t>
      </w:r>
      <w:r w:rsidR="00047E3A">
        <w:rPr>
          <w:rFonts w:ascii="Garamond" w:eastAsia="Times New Roman" w:hAnsi="Garamond"/>
          <w:sz w:val="24"/>
          <w:szCs w:val="24"/>
        </w:rPr>
        <w:t xml:space="preserve">at-risk species </w:t>
      </w:r>
      <w:r w:rsidR="00931146">
        <w:rPr>
          <w:rFonts w:ascii="Garamond" w:eastAsia="Times New Roman" w:hAnsi="Garamond"/>
          <w:sz w:val="24"/>
          <w:szCs w:val="24"/>
        </w:rPr>
        <w:t xml:space="preserve">based on </w:t>
      </w:r>
      <w:r w:rsidR="00DB2628">
        <w:rPr>
          <w:rFonts w:ascii="Garamond" w:eastAsia="Times New Roman" w:hAnsi="Garamond"/>
          <w:sz w:val="24"/>
          <w:szCs w:val="24"/>
        </w:rPr>
        <w:t xml:space="preserve">the specific characteristics of </w:t>
      </w:r>
      <w:r w:rsidR="00FB6974">
        <w:rPr>
          <w:rFonts w:ascii="Garamond" w:eastAsia="Times New Roman" w:hAnsi="Garamond"/>
          <w:sz w:val="24"/>
          <w:szCs w:val="24"/>
        </w:rPr>
        <w:t>species and subspecies,</w:t>
      </w:r>
      <w:r w:rsidR="004C4070">
        <w:rPr>
          <w:rFonts w:ascii="Garamond" w:eastAsia="Times New Roman" w:hAnsi="Garamond"/>
          <w:sz w:val="24"/>
          <w:szCs w:val="24"/>
        </w:rPr>
        <w:t xml:space="preserve"> and</w:t>
      </w:r>
      <w:r w:rsidR="00FB6974">
        <w:rPr>
          <w:rFonts w:ascii="Garamond" w:eastAsia="Times New Roman" w:hAnsi="Garamond"/>
          <w:sz w:val="24"/>
          <w:szCs w:val="24"/>
        </w:rPr>
        <w:t xml:space="preserve"> </w:t>
      </w:r>
      <w:r w:rsidR="00620C46">
        <w:rPr>
          <w:rFonts w:ascii="Garamond" w:eastAsia="Times New Roman" w:hAnsi="Garamond"/>
          <w:sz w:val="24"/>
          <w:szCs w:val="24"/>
        </w:rPr>
        <w:t xml:space="preserve">(4) </w:t>
      </w:r>
      <w:r w:rsidR="00A25FF1">
        <w:rPr>
          <w:rFonts w:ascii="Garamond" w:eastAsia="Times New Roman" w:hAnsi="Garamond"/>
          <w:sz w:val="24"/>
          <w:szCs w:val="24"/>
        </w:rPr>
        <w:t xml:space="preserve">whether </w:t>
      </w:r>
      <w:r w:rsidR="00EA5464">
        <w:rPr>
          <w:rFonts w:ascii="Garamond" w:eastAsia="Times New Roman" w:hAnsi="Garamond"/>
          <w:sz w:val="24"/>
          <w:szCs w:val="24"/>
        </w:rPr>
        <w:t xml:space="preserve">the fuel treatment programs that go beyond the </w:t>
      </w:r>
      <w:r w:rsidR="009034C7">
        <w:rPr>
          <w:rFonts w:ascii="Garamond" w:eastAsia="Times New Roman" w:hAnsi="Garamond"/>
          <w:sz w:val="24"/>
          <w:szCs w:val="24"/>
        </w:rPr>
        <w:t>12-foot radial requirements in General Order 95</w:t>
      </w:r>
      <w:r w:rsidR="00F62357">
        <w:rPr>
          <w:rFonts w:ascii="Garamond" w:eastAsia="Times New Roman" w:hAnsi="Garamond"/>
          <w:sz w:val="24"/>
          <w:szCs w:val="24"/>
        </w:rPr>
        <w:t xml:space="preserve"> </w:t>
      </w:r>
      <w:r w:rsidR="00162681">
        <w:rPr>
          <w:rFonts w:ascii="Garamond" w:eastAsia="Times New Roman" w:hAnsi="Garamond"/>
          <w:sz w:val="24"/>
          <w:szCs w:val="24"/>
        </w:rPr>
        <w:t xml:space="preserve">follow best practices </w:t>
      </w:r>
      <w:r w:rsidR="0071327A">
        <w:rPr>
          <w:rFonts w:ascii="Garamond" w:eastAsia="Times New Roman" w:hAnsi="Garamond"/>
          <w:sz w:val="24"/>
          <w:szCs w:val="24"/>
        </w:rPr>
        <w:t>or</w:t>
      </w:r>
      <w:r w:rsidR="00162681">
        <w:rPr>
          <w:rFonts w:ascii="Garamond" w:eastAsia="Times New Roman" w:hAnsi="Garamond"/>
          <w:sz w:val="24"/>
          <w:szCs w:val="24"/>
        </w:rPr>
        <w:t xml:space="preserve"> have been</w:t>
      </w:r>
      <w:r w:rsidR="004C4070">
        <w:rPr>
          <w:rFonts w:ascii="Garamond" w:eastAsia="Times New Roman" w:hAnsi="Garamond"/>
          <w:sz w:val="24"/>
          <w:szCs w:val="24"/>
        </w:rPr>
        <w:t xml:space="preserve"> be reviewed by scientists. </w:t>
      </w:r>
      <w:r w:rsidR="004D7BF8">
        <w:rPr>
          <w:rFonts w:ascii="Garamond" w:eastAsia="Times New Roman" w:hAnsi="Garamond"/>
          <w:sz w:val="24"/>
          <w:szCs w:val="24"/>
        </w:rPr>
        <w:t xml:space="preserve"> </w:t>
      </w:r>
    </w:p>
    <w:p w14:paraId="52A92398" w14:textId="7C875D9C" w:rsidR="00306973" w:rsidRPr="00D27CF3" w:rsidRDefault="00E066B2" w:rsidP="00C115EF">
      <w:pPr>
        <w:rPr>
          <w:rFonts w:ascii="Century Gothic" w:eastAsia="Times New Roman" w:hAnsi="Century Gothic"/>
        </w:rPr>
      </w:pPr>
      <w:r w:rsidRPr="00D27CF3">
        <w:rPr>
          <w:rFonts w:ascii="Century Gothic" w:eastAsia="Times New Roman" w:hAnsi="Century Gothic"/>
        </w:rPr>
        <w:t>Observations</w:t>
      </w:r>
      <w:r w:rsidR="00306973" w:rsidRPr="00D27CF3">
        <w:rPr>
          <w:rFonts w:ascii="Century Gothic" w:eastAsia="Times New Roman" w:hAnsi="Century Gothic"/>
        </w:rPr>
        <w:t>:</w:t>
      </w:r>
    </w:p>
    <w:p w14:paraId="26ED9A16" w14:textId="1E758F65" w:rsidR="00E96C5E" w:rsidRPr="008073C4" w:rsidRDefault="0031568B" w:rsidP="00C115EF">
      <w:pPr>
        <w:pStyle w:val="ListParagraph"/>
        <w:numPr>
          <w:ilvl w:val="0"/>
          <w:numId w:val="31"/>
        </w:numPr>
        <w:contextualSpacing w:val="0"/>
        <w:rPr>
          <w:rFonts w:ascii="Garamond" w:eastAsia="Times New Roman" w:hAnsi="Garamond"/>
          <w:sz w:val="24"/>
          <w:szCs w:val="24"/>
        </w:rPr>
      </w:pPr>
      <w:r w:rsidRPr="008073C4">
        <w:rPr>
          <w:rFonts w:ascii="Garamond" w:eastAsia="Times New Roman" w:hAnsi="Garamond"/>
          <w:i/>
          <w:iCs/>
          <w:sz w:val="24"/>
          <w:szCs w:val="24"/>
        </w:rPr>
        <w:t>Whether vegetation treatment in non-forested areas is creating a more flammable environment:</w:t>
      </w:r>
      <w:r>
        <w:rPr>
          <w:rFonts w:ascii="Garamond" w:eastAsia="Times New Roman" w:hAnsi="Garamond"/>
          <w:sz w:val="24"/>
          <w:szCs w:val="24"/>
        </w:rPr>
        <w:t xml:space="preserve"> </w:t>
      </w:r>
      <w:r w:rsidR="00E96C5E" w:rsidRPr="00D27CF3">
        <w:rPr>
          <w:rFonts w:ascii="Garamond" w:eastAsia="Times New Roman" w:hAnsi="Garamond"/>
          <w:sz w:val="24"/>
          <w:szCs w:val="24"/>
        </w:rPr>
        <w:t>The utilities make vegetation management decisions that determine whether to (1) treat, or (2) remove vegetation</w:t>
      </w:r>
      <w:r w:rsidR="00D50F32">
        <w:rPr>
          <w:rFonts w:ascii="Garamond" w:eastAsia="Times New Roman" w:hAnsi="Garamond"/>
          <w:sz w:val="24"/>
          <w:szCs w:val="24"/>
        </w:rPr>
        <w:t xml:space="preserve">.  </w:t>
      </w:r>
      <w:r w:rsidR="00C35665" w:rsidRPr="00C142DB">
        <w:rPr>
          <w:rFonts w:ascii="Garamond" w:eastAsia="Times New Roman" w:hAnsi="Garamond"/>
          <w:sz w:val="24"/>
          <w:szCs w:val="24"/>
        </w:rPr>
        <w:t xml:space="preserve">The removal of certain species can lead to an infill of dry grass, which may create a more flammable environment. </w:t>
      </w:r>
      <w:r w:rsidR="00C35665">
        <w:rPr>
          <w:rFonts w:ascii="Garamond" w:eastAsia="Times New Roman" w:hAnsi="Garamond"/>
          <w:sz w:val="24"/>
          <w:szCs w:val="24"/>
        </w:rPr>
        <w:t xml:space="preserve"> </w:t>
      </w:r>
      <w:r w:rsidR="00E96C5E" w:rsidRPr="00D27CF3">
        <w:rPr>
          <w:rFonts w:ascii="Garamond" w:eastAsia="Times New Roman" w:hAnsi="Garamond"/>
          <w:sz w:val="24"/>
          <w:szCs w:val="24"/>
        </w:rPr>
        <w:t>More specific details on how different vegetation types are treated would help evaluate whether the vegetation treatment approaches are consistent with the scientific literature and best practices for different fire regimes</w:t>
      </w:r>
      <w:r w:rsidR="00C35665">
        <w:rPr>
          <w:rFonts w:ascii="Garamond" w:eastAsia="Times New Roman" w:hAnsi="Garamond"/>
          <w:sz w:val="24"/>
          <w:szCs w:val="24"/>
        </w:rPr>
        <w:t xml:space="preserve">.  </w:t>
      </w:r>
    </w:p>
    <w:p w14:paraId="66F09ABF" w14:textId="1F0AC712" w:rsidR="009C093E" w:rsidRDefault="00E96C5E" w:rsidP="00C115EF">
      <w:pPr>
        <w:pStyle w:val="ListParagraph"/>
        <w:numPr>
          <w:ilvl w:val="0"/>
          <w:numId w:val="38"/>
        </w:numPr>
        <w:ind w:left="900"/>
        <w:contextualSpacing w:val="0"/>
        <w:rPr>
          <w:rFonts w:ascii="Garamond" w:eastAsia="Times New Roman" w:hAnsi="Garamond"/>
          <w:sz w:val="24"/>
          <w:szCs w:val="24"/>
        </w:rPr>
      </w:pPr>
      <w:r w:rsidRPr="00D27CF3">
        <w:rPr>
          <w:rFonts w:ascii="Garamond" w:eastAsia="Times New Roman" w:hAnsi="Garamond"/>
          <w:sz w:val="24"/>
          <w:szCs w:val="24"/>
        </w:rPr>
        <w:t>The utility plans should provide sufficient information about how woody shrubland vegetation will be treated</w:t>
      </w:r>
      <w:r w:rsidR="00D50F32">
        <w:rPr>
          <w:rFonts w:ascii="Garamond" w:eastAsia="Times New Roman" w:hAnsi="Garamond"/>
          <w:sz w:val="24"/>
          <w:szCs w:val="24"/>
        </w:rPr>
        <w:t xml:space="preserve">.  </w:t>
      </w:r>
      <w:r w:rsidRPr="00D27CF3">
        <w:rPr>
          <w:rFonts w:ascii="Garamond" w:eastAsia="Times New Roman" w:hAnsi="Garamond"/>
          <w:sz w:val="24"/>
          <w:szCs w:val="24"/>
        </w:rPr>
        <w:t>It is widely accepted in the scientific literature that the effects and effectiveness of vegetation treatment efforts vary depending on whether the ecosystem is forested or non-forested and whether the fires are wind-driven or not.</w:t>
      </w:r>
      <w:r w:rsidRPr="00D27CF3">
        <w:rPr>
          <w:rStyle w:val="FootnoteReference"/>
          <w:rFonts w:ascii="Garamond" w:eastAsia="Times New Roman" w:hAnsi="Garamond"/>
          <w:sz w:val="24"/>
          <w:szCs w:val="24"/>
        </w:rPr>
        <w:footnoteReference w:id="15"/>
      </w:r>
      <w:r w:rsidRPr="00D27CF3">
        <w:rPr>
          <w:rFonts w:ascii="Garamond" w:eastAsia="Times New Roman" w:hAnsi="Garamond"/>
          <w:sz w:val="24"/>
          <w:szCs w:val="24"/>
        </w:rPr>
        <w:t xml:space="preserve"> </w:t>
      </w:r>
    </w:p>
    <w:p w14:paraId="09706813" w14:textId="567FA2D5" w:rsidR="00F34D8A" w:rsidRDefault="00E96C5E" w:rsidP="00C115EF">
      <w:pPr>
        <w:pStyle w:val="ListParagraph"/>
        <w:numPr>
          <w:ilvl w:val="0"/>
          <w:numId w:val="38"/>
        </w:numPr>
        <w:ind w:left="900"/>
        <w:contextualSpacing w:val="0"/>
        <w:rPr>
          <w:rFonts w:ascii="Garamond" w:eastAsia="Times New Roman" w:hAnsi="Garamond"/>
          <w:sz w:val="24"/>
          <w:szCs w:val="24"/>
        </w:rPr>
      </w:pPr>
      <w:r w:rsidRPr="00D27CF3">
        <w:rPr>
          <w:rFonts w:ascii="Garamond" w:eastAsia="Times New Roman" w:hAnsi="Garamond"/>
          <w:sz w:val="24"/>
          <w:szCs w:val="24"/>
        </w:rPr>
        <w:t>Different natural fire regimes in the state have changed in opposite directions over the last 100 years, and treatment effects will vary depending on the way broader-scale fire mitigation regimes have changed.</w:t>
      </w:r>
      <w:r w:rsidRPr="00D27CF3">
        <w:rPr>
          <w:rStyle w:val="FootnoteReference"/>
          <w:rFonts w:ascii="Garamond" w:eastAsia="Times New Roman" w:hAnsi="Garamond"/>
          <w:sz w:val="24"/>
          <w:szCs w:val="24"/>
        </w:rPr>
        <w:footnoteReference w:id="16"/>
      </w:r>
      <w:r w:rsidRPr="00D27CF3">
        <w:rPr>
          <w:rFonts w:ascii="Garamond" w:eastAsia="Times New Roman" w:hAnsi="Garamond"/>
          <w:sz w:val="24"/>
          <w:szCs w:val="24"/>
        </w:rPr>
        <w:t xml:space="preserve">  Given the wide variation of </w:t>
      </w:r>
      <w:r w:rsidR="0047328D" w:rsidRPr="00D27CF3">
        <w:rPr>
          <w:rFonts w:ascii="Garamond" w:eastAsia="Times New Roman" w:hAnsi="Garamond"/>
          <w:sz w:val="24"/>
          <w:szCs w:val="24"/>
        </w:rPr>
        <w:t xml:space="preserve">treatments and </w:t>
      </w:r>
      <w:r w:rsidRPr="00D27CF3">
        <w:rPr>
          <w:rFonts w:ascii="Garamond" w:eastAsia="Times New Roman" w:hAnsi="Garamond"/>
          <w:sz w:val="24"/>
          <w:szCs w:val="24"/>
        </w:rPr>
        <w:t xml:space="preserve">approaches, the utilities should indicate whether the approaches they choose are consistent with best practices in the industry.  </w:t>
      </w:r>
    </w:p>
    <w:p w14:paraId="32054EE3" w14:textId="0A32A9B3" w:rsidR="00E96C5E" w:rsidRPr="008073C4" w:rsidRDefault="00F34D8A" w:rsidP="00C115EF">
      <w:pPr>
        <w:pStyle w:val="ListParagraph"/>
        <w:numPr>
          <w:ilvl w:val="0"/>
          <w:numId w:val="38"/>
        </w:numPr>
        <w:ind w:left="900"/>
        <w:contextualSpacing w:val="0"/>
        <w:rPr>
          <w:rFonts w:ascii="Garamond" w:eastAsia="Times New Roman" w:hAnsi="Garamond"/>
          <w:sz w:val="24"/>
          <w:szCs w:val="24"/>
        </w:rPr>
      </w:pPr>
      <w:r w:rsidRPr="00D27CF3">
        <w:rPr>
          <w:rFonts w:ascii="Garamond" w:eastAsia="Times New Roman" w:hAnsi="Garamond"/>
          <w:sz w:val="24"/>
          <w:szCs w:val="24"/>
        </w:rPr>
        <w:t>Woody shrubs and grasses tend to have trade-offs in terms of their risk to communities</w:t>
      </w:r>
      <w:r w:rsidR="00D50F32">
        <w:rPr>
          <w:rFonts w:ascii="Garamond" w:eastAsia="Times New Roman" w:hAnsi="Garamond"/>
          <w:sz w:val="24"/>
          <w:szCs w:val="24"/>
        </w:rPr>
        <w:t xml:space="preserve">.  </w:t>
      </w:r>
      <w:r w:rsidRPr="00D27CF3">
        <w:rPr>
          <w:rFonts w:ascii="Garamond" w:eastAsia="Times New Roman" w:hAnsi="Garamond"/>
          <w:sz w:val="24"/>
          <w:szCs w:val="24"/>
        </w:rPr>
        <w:t xml:space="preserve"> For instance, woody shrubs tend to burn at higher intensity than grasses, but grasses are much more flammable, for much longer times of the year.</w:t>
      </w:r>
      <w:r w:rsidRPr="00D27CF3">
        <w:rPr>
          <w:rStyle w:val="FootnoteReference"/>
          <w:rFonts w:ascii="Garamond" w:eastAsia="Times New Roman" w:hAnsi="Garamond"/>
          <w:sz w:val="24"/>
          <w:szCs w:val="24"/>
        </w:rPr>
        <w:footnoteReference w:id="17"/>
      </w:r>
      <w:r w:rsidRPr="00D27CF3">
        <w:rPr>
          <w:rFonts w:ascii="Garamond" w:eastAsia="Times New Roman" w:hAnsi="Garamond"/>
          <w:sz w:val="24"/>
          <w:szCs w:val="24"/>
        </w:rPr>
        <w:t xml:space="preserve">  Also, whenever woody shrubs are removed in vegetation management efforts, the widespread distribution of grass, with high dispersal capacity and high resilience to fire, ensures that it will grow in and replace the woody vegetation, which has occurred over large extents of southern California already.</w:t>
      </w:r>
      <w:r w:rsidRPr="00D27CF3">
        <w:rPr>
          <w:rStyle w:val="FootnoteReference"/>
          <w:rFonts w:ascii="Garamond" w:eastAsia="Times New Roman" w:hAnsi="Garamond"/>
          <w:sz w:val="24"/>
          <w:szCs w:val="24"/>
        </w:rPr>
        <w:footnoteReference w:id="18"/>
      </w:r>
      <w:r w:rsidRPr="00D27CF3">
        <w:rPr>
          <w:rFonts w:ascii="Garamond" w:eastAsia="Times New Roman" w:hAnsi="Garamond"/>
          <w:sz w:val="24"/>
          <w:szCs w:val="24"/>
        </w:rPr>
        <w:t xml:space="preserve"> If fires are infrequent, the woody vegetation may return</w:t>
      </w:r>
      <w:r w:rsidR="00D50F32">
        <w:rPr>
          <w:rFonts w:ascii="Garamond" w:eastAsia="Times New Roman" w:hAnsi="Garamond"/>
          <w:sz w:val="24"/>
          <w:szCs w:val="24"/>
        </w:rPr>
        <w:t xml:space="preserve">.  </w:t>
      </w:r>
      <w:r w:rsidRPr="00D27CF3">
        <w:rPr>
          <w:rFonts w:ascii="Garamond" w:eastAsia="Times New Roman" w:hAnsi="Garamond"/>
          <w:sz w:val="24"/>
          <w:szCs w:val="24"/>
        </w:rPr>
        <w:t>If fires are frequent, the woody shrubs may be eliminated because they cannot recover.</w:t>
      </w:r>
    </w:p>
    <w:p w14:paraId="19C0FE0A" w14:textId="54A4FBD6" w:rsidR="00610137" w:rsidRPr="00D27CF3" w:rsidRDefault="00EB7BC0" w:rsidP="00C115EF">
      <w:pPr>
        <w:pStyle w:val="ListParagraph"/>
        <w:numPr>
          <w:ilvl w:val="0"/>
          <w:numId w:val="41"/>
        </w:numPr>
        <w:contextualSpacing w:val="0"/>
        <w:rPr>
          <w:rFonts w:ascii="Garamond" w:eastAsia="Times New Roman" w:hAnsi="Garamond"/>
          <w:sz w:val="24"/>
          <w:szCs w:val="24"/>
        </w:rPr>
      </w:pPr>
      <w:r w:rsidRPr="008073C4">
        <w:rPr>
          <w:rFonts w:ascii="Garamond" w:eastAsia="Times New Roman" w:hAnsi="Garamond"/>
          <w:i/>
          <w:iCs/>
          <w:sz w:val="24"/>
          <w:szCs w:val="24"/>
        </w:rPr>
        <w:t>Whether the utilities have developed programs to increase fuel moisture retention</w:t>
      </w:r>
      <w:r>
        <w:rPr>
          <w:rFonts w:ascii="Garamond" w:eastAsia="Times New Roman" w:hAnsi="Garamond"/>
          <w:sz w:val="24"/>
          <w:szCs w:val="24"/>
        </w:rPr>
        <w:t xml:space="preserve">: </w:t>
      </w:r>
      <w:r w:rsidR="003B48B2">
        <w:rPr>
          <w:rFonts w:ascii="Garamond" w:eastAsia="Times New Roman" w:hAnsi="Garamond"/>
          <w:sz w:val="24"/>
          <w:szCs w:val="24"/>
        </w:rPr>
        <w:t xml:space="preserve"> </w:t>
      </w:r>
      <w:r w:rsidR="00610137" w:rsidRPr="00D27CF3">
        <w:rPr>
          <w:rFonts w:ascii="Garamond" w:eastAsia="Times New Roman" w:hAnsi="Garamond"/>
          <w:sz w:val="24"/>
          <w:szCs w:val="24"/>
        </w:rPr>
        <w:t xml:space="preserve">Whatever a spark lands on will determine whether there is a fire that starts and can propagate. </w:t>
      </w:r>
      <w:r w:rsidR="003B48B2">
        <w:rPr>
          <w:rFonts w:ascii="Garamond" w:eastAsia="Times New Roman" w:hAnsi="Garamond"/>
          <w:sz w:val="24"/>
          <w:szCs w:val="24"/>
        </w:rPr>
        <w:t xml:space="preserve"> </w:t>
      </w:r>
      <w:r w:rsidR="00610137" w:rsidRPr="00D27CF3">
        <w:rPr>
          <w:rFonts w:ascii="Garamond" w:eastAsia="Times New Roman" w:hAnsi="Garamond"/>
          <w:sz w:val="24"/>
          <w:szCs w:val="24"/>
        </w:rPr>
        <w:t>Fires often start in dry grasses rather than plants with higher fuel moisture content, like evergreen shrubs or oak trees.  Plants with higher fuel moisture will often extinguish the spark</w:t>
      </w:r>
      <w:r w:rsidR="00D50F32">
        <w:rPr>
          <w:rFonts w:ascii="Garamond" w:eastAsia="Times New Roman" w:hAnsi="Garamond"/>
          <w:sz w:val="24"/>
          <w:szCs w:val="24"/>
        </w:rPr>
        <w:t xml:space="preserve">.  </w:t>
      </w:r>
      <w:r w:rsidR="00610137" w:rsidRPr="00D27CF3">
        <w:rPr>
          <w:rFonts w:ascii="Garamond" w:eastAsia="Times New Roman" w:hAnsi="Garamond"/>
          <w:sz w:val="24"/>
          <w:szCs w:val="24"/>
        </w:rPr>
        <w:t>Removing woody shrubs and replacing them with grass leads to a generally more flammable environment where fires can start and then propagate.</w:t>
      </w:r>
      <w:r w:rsidR="00610137" w:rsidRPr="00D27CF3">
        <w:rPr>
          <w:rStyle w:val="FootnoteReference"/>
          <w:rFonts w:ascii="Garamond" w:eastAsia="Times New Roman" w:hAnsi="Garamond"/>
          <w:sz w:val="24"/>
          <w:szCs w:val="24"/>
        </w:rPr>
        <w:footnoteReference w:id="19"/>
      </w:r>
      <w:r w:rsidR="00610137" w:rsidRPr="00D27CF3">
        <w:rPr>
          <w:rFonts w:ascii="Garamond" w:eastAsia="Times New Roman" w:hAnsi="Garamond"/>
          <w:sz w:val="24"/>
          <w:szCs w:val="24"/>
        </w:rPr>
        <w:t xml:space="preserve">  If the fire starts in grass, it can then spread quickly into woody vegetation that burns with higher intensity and flame lengths and is more dangerous.</w:t>
      </w:r>
      <w:r>
        <w:rPr>
          <w:rFonts w:ascii="Garamond" w:eastAsia="Times New Roman" w:hAnsi="Garamond"/>
          <w:sz w:val="24"/>
          <w:szCs w:val="24"/>
        </w:rPr>
        <w:t xml:space="preserve">  The utilities should consider programs that increase fuel moisture</w:t>
      </w:r>
      <w:r w:rsidR="001F23B7">
        <w:rPr>
          <w:rFonts w:ascii="Garamond" w:eastAsia="Times New Roman" w:hAnsi="Garamond"/>
          <w:sz w:val="24"/>
          <w:szCs w:val="24"/>
        </w:rPr>
        <w:t xml:space="preserve">. </w:t>
      </w:r>
      <w:r w:rsidR="00610137" w:rsidRPr="00D27CF3">
        <w:rPr>
          <w:rFonts w:ascii="Garamond" w:eastAsia="Times New Roman" w:hAnsi="Garamond"/>
          <w:sz w:val="24"/>
          <w:szCs w:val="24"/>
        </w:rPr>
        <w:t xml:space="preserve"> </w:t>
      </w:r>
    </w:p>
    <w:p w14:paraId="77F61621" w14:textId="4BB1E953" w:rsidR="002E1835" w:rsidRPr="00D27CF3" w:rsidRDefault="005A69DA" w:rsidP="00C115EF">
      <w:pPr>
        <w:pStyle w:val="ListParagraph"/>
        <w:numPr>
          <w:ilvl w:val="0"/>
          <w:numId w:val="42"/>
        </w:numPr>
        <w:ind w:left="900"/>
        <w:contextualSpacing w:val="0"/>
        <w:rPr>
          <w:rFonts w:ascii="Century Gothic" w:eastAsia="Times New Roman" w:hAnsi="Century Gothic"/>
        </w:rPr>
      </w:pPr>
      <w:r>
        <w:rPr>
          <w:rFonts w:ascii="Garamond" w:eastAsia="Times New Roman" w:hAnsi="Garamond"/>
          <w:sz w:val="24"/>
          <w:szCs w:val="24"/>
        </w:rPr>
        <w:t>For example, i</w:t>
      </w:r>
      <w:r w:rsidR="002E1835" w:rsidRPr="00D27CF3">
        <w:rPr>
          <w:rFonts w:ascii="Garamond" w:eastAsia="Times New Roman" w:hAnsi="Garamond"/>
          <w:sz w:val="24"/>
          <w:szCs w:val="24"/>
        </w:rPr>
        <w:t xml:space="preserve">rrigating using recycled water near utility infrastructure </w:t>
      </w:r>
      <w:r>
        <w:rPr>
          <w:rFonts w:ascii="Garamond" w:eastAsia="Times New Roman" w:hAnsi="Garamond"/>
          <w:sz w:val="24"/>
          <w:szCs w:val="24"/>
        </w:rPr>
        <w:t>could</w:t>
      </w:r>
      <w:r w:rsidR="002E1835" w:rsidRPr="00D27CF3">
        <w:rPr>
          <w:rFonts w:ascii="Garamond" w:eastAsia="Times New Roman" w:hAnsi="Garamond"/>
          <w:sz w:val="24"/>
          <w:szCs w:val="24"/>
        </w:rPr>
        <w:t xml:space="preserve"> help reduce wildfire risk by reducing</w:t>
      </w:r>
      <w:r>
        <w:rPr>
          <w:rFonts w:ascii="Garamond" w:eastAsia="Times New Roman" w:hAnsi="Garamond"/>
          <w:sz w:val="24"/>
          <w:szCs w:val="24"/>
        </w:rPr>
        <w:t xml:space="preserve"> fuels like dry</w:t>
      </w:r>
      <w:r w:rsidR="005369EE">
        <w:rPr>
          <w:rFonts w:ascii="Garamond" w:eastAsia="Times New Roman" w:hAnsi="Garamond"/>
          <w:sz w:val="24"/>
          <w:szCs w:val="24"/>
        </w:rPr>
        <w:t xml:space="preserve"> grass</w:t>
      </w:r>
      <w:r w:rsidR="00F169A9" w:rsidRPr="00D27CF3">
        <w:rPr>
          <w:rFonts w:ascii="Garamond" w:eastAsia="Times New Roman" w:hAnsi="Garamond"/>
          <w:sz w:val="24"/>
          <w:szCs w:val="24"/>
        </w:rPr>
        <w:t>.</w:t>
      </w:r>
      <w:r w:rsidR="00F169A9">
        <w:rPr>
          <w:rFonts w:ascii="Garamond" w:eastAsia="Times New Roman" w:hAnsi="Garamond"/>
          <w:sz w:val="24"/>
          <w:szCs w:val="24"/>
        </w:rPr>
        <w:t xml:space="preserve">  </w:t>
      </w:r>
      <w:r w:rsidR="002E1835" w:rsidRPr="00D27CF3">
        <w:rPr>
          <w:rFonts w:ascii="Garamond" w:eastAsia="Times New Roman" w:hAnsi="Garamond"/>
          <w:sz w:val="24"/>
          <w:szCs w:val="24"/>
        </w:rPr>
        <w:t>Recycled water is wastewater that is treated to remove suspended solids, pollutants and bacteria.  It is not treated at the same level as drinking water.  Recycled water is safe for irrigation of parks, medians and other landscaped areas, soil compaction, and dust control, as well as many other non-drinking uses</w:t>
      </w:r>
      <w:r w:rsidR="00D50F32">
        <w:rPr>
          <w:rFonts w:ascii="Garamond" w:eastAsia="Times New Roman" w:hAnsi="Garamond"/>
          <w:sz w:val="24"/>
          <w:szCs w:val="24"/>
        </w:rPr>
        <w:t xml:space="preserve">.  </w:t>
      </w:r>
      <w:r w:rsidR="002E1835" w:rsidRPr="00D27CF3">
        <w:rPr>
          <w:rFonts w:ascii="Garamond" w:eastAsia="Times New Roman" w:hAnsi="Garamond"/>
          <w:sz w:val="24"/>
          <w:szCs w:val="24"/>
        </w:rPr>
        <w:t xml:space="preserve">Though California is experiencing a </w:t>
      </w:r>
      <w:r w:rsidR="00AB77E1" w:rsidRPr="00D27CF3">
        <w:rPr>
          <w:rFonts w:ascii="Garamond" w:eastAsia="Times New Roman" w:hAnsi="Garamond"/>
          <w:sz w:val="24"/>
          <w:szCs w:val="24"/>
        </w:rPr>
        <w:t>dr</w:t>
      </w:r>
      <w:r w:rsidR="00AB77E1">
        <w:rPr>
          <w:rFonts w:ascii="Garamond" w:eastAsia="Times New Roman" w:hAnsi="Garamond"/>
          <w:sz w:val="24"/>
          <w:szCs w:val="24"/>
        </w:rPr>
        <w:t>ought</w:t>
      </w:r>
      <w:r w:rsidR="002E1835" w:rsidRPr="00D27CF3">
        <w:rPr>
          <w:rFonts w:ascii="Garamond" w:eastAsia="Times New Roman" w:hAnsi="Garamond"/>
          <w:sz w:val="24"/>
          <w:szCs w:val="24"/>
        </w:rPr>
        <w:t xml:space="preserve">, using recycled water will not take away valuable drinking water.  </w:t>
      </w:r>
    </w:p>
    <w:p w14:paraId="10B02279" w14:textId="50BFB109" w:rsidR="00E96C5E" w:rsidRPr="00D27CF3" w:rsidRDefault="005369EE" w:rsidP="00C115EF">
      <w:pPr>
        <w:pStyle w:val="ListParagraph"/>
        <w:numPr>
          <w:ilvl w:val="0"/>
          <w:numId w:val="39"/>
        </w:numPr>
        <w:ind w:left="360"/>
        <w:contextualSpacing w:val="0"/>
        <w:rPr>
          <w:rFonts w:ascii="Garamond" w:eastAsia="Times New Roman" w:hAnsi="Garamond"/>
          <w:sz w:val="24"/>
          <w:szCs w:val="24"/>
        </w:rPr>
      </w:pPr>
      <w:r w:rsidRPr="008073C4">
        <w:rPr>
          <w:rFonts w:ascii="Garamond" w:eastAsia="Times New Roman" w:hAnsi="Garamond"/>
          <w:i/>
          <w:iCs/>
          <w:sz w:val="24"/>
          <w:szCs w:val="24"/>
        </w:rPr>
        <w:t>Whether the plans justify targeting certain at-risk species:</w:t>
      </w:r>
      <w:r>
        <w:rPr>
          <w:rFonts w:ascii="Garamond" w:eastAsia="Times New Roman" w:hAnsi="Garamond"/>
          <w:sz w:val="24"/>
          <w:szCs w:val="24"/>
        </w:rPr>
        <w:t xml:space="preserve"> </w:t>
      </w:r>
      <w:r w:rsidR="00935470">
        <w:rPr>
          <w:rFonts w:ascii="Garamond" w:eastAsia="Times New Roman" w:hAnsi="Garamond"/>
          <w:sz w:val="24"/>
          <w:szCs w:val="24"/>
        </w:rPr>
        <w:t xml:space="preserve"> </w:t>
      </w:r>
      <w:r w:rsidR="00E96C5E" w:rsidRPr="00D27CF3">
        <w:rPr>
          <w:rFonts w:ascii="Garamond" w:eastAsia="Times New Roman" w:hAnsi="Garamond"/>
          <w:sz w:val="24"/>
          <w:szCs w:val="24"/>
        </w:rPr>
        <w:t>Proper identification of vegetation species and subspecies, not the genus alone, will help to ensure justification in treatment or removal based on the specific characteristics of species and subspecies of at-risk trees</w:t>
      </w:r>
      <w:r w:rsidR="00935470">
        <w:rPr>
          <w:rFonts w:ascii="Garamond" w:eastAsia="Times New Roman" w:hAnsi="Garamond"/>
          <w:sz w:val="24"/>
          <w:szCs w:val="24"/>
        </w:rPr>
        <w:t xml:space="preserve">.  </w:t>
      </w:r>
      <w:r w:rsidR="00E96C5E" w:rsidRPr="00D27CF3">
        <w:rPr>
          <w:rFonts w:ascii="Garamond" w:eastAsia="Times New Roman" w:hAnsi="Garamond"/>
          <w:sz w:val="24"/>
          <w:szCs w:val="24"/>
        </w:rPr>
        <w:t>The plans list at risk trees by genus.  However, tree species often vary widely within the same genus</w:t>
      </w:r>
      <w:r w:rsidR="00935470">
        <w:rPr>
          <w:rFonts w:ascii="Garamond" w:eastAsia="Times New Roman" w:hAnsi="Garamond"/>
          <w:sz w:val="24"/>
          <w:szCs w:val="24"/>
        </w:rPr>
        <w:t xml:space="preserve">.  </w:t>
      </w:r>
      <w:r w:rsidR="00E96C5E" w:rsidRPr="00D27CF3">
        <w:rPr>
          <w:rFonts w:ascii="Garamond" w:eastAsia="Times New Roman" w:hAnsi="Garamond"/>
          <w:sz w:val="24"/>
          <w:szCs w:val="24"/>
        </w:rPr>
        <w:t xml:space="preserve">For example, there is a vast difference in fuel characteristics between a sclerophyllous-leaved scrub oak (Q. berberidifolia) and a deciduous-leaved black oak (Q. kelloggii).  Therefore, the utility vegetation management plans </w:t>
      </w:r>
      <w:r w:rsidR="00B251B0">
        <w:rPr>
          <w:rFonts w:ascii="Garamond" w:eastAsia="Times New Roman" w:hAnsi="Garamond"/>
          <w:sz w:val="24"/>
          <w:szCs w:val="24"/>
        </w:rPr>
        <w:t>should</w:t>
      </w:r>
      <w:r w:rsidR="00E96C5E" w:rsidRPr="00D27CF3">
        <w:rPr>
          <w:rFonts w:ascii="Garamond" w:eastAsia="Times New Roman" w:hAnsi="Garamond"/>
          <w:sz w:val="24"/>
          <w:szCs w:val="24"/>
        </w:rPr>
        <w:t xml:space="preserve"> consider the species and sub-species, in addition to the genus. </w:t>
      </w:r>
    </w:p>
    <w:p w14:paraId="7F07CA75" w14:textId="1C057DAD" w:rsidR="00924E72" w:rsidRPr="008073C4" w:rsidRDefault="00C50BC3" w:rsidP="00C115EF">
      <w:pPr>
        <w:pStyle w:val="ListParagraph"/>
        <w:numPr>
          <w:ilvl w:val="0"/>
          <w:numId w:val="21"/>
        </w:numPr>
        <w:contextualSpacing w:val="0"/>
        <w:rPr>
          <w:rFonts w:ascii="Garamond" w:eastAsia="Times New Roman" w:hAnsi="Garamond" w:cs="Times New Roman"/>
          <w:color w:val="000000"/>
          <w:sz w:val="24"/>
          <w:szCs w:val="24"/>
        </w:rPr>
      </w:pPr>
      <w:r>
        <w:rPr>
          <w:rFonts w:ascii="Garamond" w:eastAsia="Times New Roman" w:hAnsi="Garamond"/>
          <w:i/>
          <w:iCs/>
          <w:sz w:val="24"/>
          <w:szCs w:val="24"/>
        </w:rPr>
        <w:t>W</w:t>
      </w:r>
      <w:r w:rsidRPr="008073C4">
        <w:rPr>
          <w:rFonts w:ascii="Garamond" w:eastAsia="Times New Roman" w:hAnsi="Garamond"/>
          <w:i/>
          <w:iCs/>
          <w:sz w:val="24"/>
          <w:szCs w:val="24"/>
        </w:rPr>
        <w:t xml:space="preserve">hether the fuel treatment programs that go beyond the 12-foot radial requirements follow best practices: </w:t>
      </w:r>
      <w:r w:rsidR="00116A0F" w:rsidRPr="00D27CF3">
        <w:rPr>
          <w:rFonts w:ascii="Garamond" w:eastAsia="Times New Roman" w:hAnsi="Garamond"/>
          <w:sz w:val="24"/>
          <w:szCs w:val="24"/>
        </w:rPr>
        <w:t xml:space="preserve">The general efforts mentioned in the utility plans extend vegetation management into areas both inside and outside of utility rights of way.  </w:t>
      </w:r>
      <w:r w:rsidR="00306973" w:rsidRPr="00D27CF3">
        <w:rPr>
          <w:rFonts w:ascii="Garamond" w:eastAsia="Times New Roman" w:hAnsi="Garamond"/>
          <w:sz w:val="24"/>
          <w:szCs w:val="24"/>
        </w:rPr>
        <w:t xml:space="preserve">Given the uncertainty of the </w:t>
      </w:r>
      <w:r w:rsidR="000B4445" w:rsidRPr="00D27CF3">
        <w:rPr>
          <w:rFonts w:ascii="Garamond" w:eastAsia="Times New Roman" w:hAnsi="Garamond"/>
          <w:sz w:val="24"/>
          <w:szCs w:val="24"/>
        </w:rPr>
        <w:t>WMP</w:t>
      </w:r>
      <w:r w:rsidR="00306973" w:rsidRPr="00D27CF3">
        <w:rPr>
          <w:rFonts w:ascii="Garamond" w:eastAsia="Times New Roman" w:hAnsi="Garamond"/>
          <w:sz w:val="24"/>
          <w:szCs w:val="24"/>
        </w:rPr>
        <w:t xml:space="preserve">’ potential fire mitigation benefits, it is questionable whether </w:t>
      </w:r>
      <w:r w:rsidR="000B4445" w:rsidRPr="00D27CF3">
        <w:rPr>
          <w:rFonts w:ascii="Garamond" w:eastAsia="Times New Roman" w:hAnsi="Garamond"/>
          <w:sz w:val="24"/>
          <w:szCs w:val="24"/>
        </w:rPr>
        <w:t xml:space="preserve">the </w:t>
      </w:r>
      <w:r w:rsidR="00306973" w:rsidRPr="00D27CF3">
        <w:rPr>
          <w:rFonts w:ascii="Garamond" w:eastAsia="Times New Roman" w:hAnsi="Garamond"/>
          <w:sz w:val="24"/>
          <w:szCs w:val="24"/>
        </w:rPr>
        <w:t>fuels treatment programs</w:t>
      </w:r>
      <w:r w:rsidR="00BA53BC">
        <w:rPr>
          <w:rFonts w:ascii="Garamond" w:eastAsia="Times New Roman" w:hAnsi="Garamond"/>
          <w:sz w:val="24"/>
          <w:szCs w:val="24"/>
        </w:rPr>
        <w:t xml:space="preserve"> that extend beyond the required General Order 95 12-foot radius</w:t>
      </w:r>
      <w:r w:rsidR="00BA53BC" w:rsidRPr="00D27CF3">
        <w:rPr>
          <w:rFonts w:ascii="Garamond" w:eastAsia="Times New Roman" w:hAnsi="Garamond"/>
          <w:sz w:val="24"/>
          <w:szCs w:val="24"/>
        </w:rPr>
        <w:t xml:space="preserve"> </w:t>
      </w:r>
      <w:r w:rsidR="00306973" w:rsidRPr="00D27CF3">
        <w:rPr>
          <w:rFonts w:ascii="Garamond" w:eastAsia="Times New Roman" w:hAnsi="Garamond"/>
          <w:sz w:val="24"/>
          <w:szCs w:val="24"/>
        </w:rPr>
        <w:t xml:space="preserve">should be part of the utilities’ responsibility, especially given the costs of these efforts. </w:t>
      </w:r>
    </w:p>
    <w:p w14:paraId="2F53233A" w14:textId="0BD103A9" w:rsidR="00924E72" w:rsidRPr="008073C4" w:rsidRDefault="00306973" w:rsidP="00C115EF">
      <w:pPr>
        <w:pStyle w:val="ListParagraph"/>
        <w:numPr>
          <w:ilvl w:val="1"/>
          <w:numId w:val="43"/>
        </w:numPr>
        <w:ind w:left="900"/>
        <w:contextualSpacing w:val="0"/>
        <w:rPr>
          <w:rFonts w:ascii="Garamond" w:eastAsia="Times New Roman" w:hAnsi="Garamond" w:cs="Times New Roman"/>
          <w:color w:val="000000"/>
          <w:sz w:val="24"/>
          <w:szCs w:val="24"/>
        </w:rPr>
      </w:pPr>
      <w:r w:rsidRPr="00D27CF3">
        <w:rPr>
          <w:rFonts w:ascii="Garamond" w:eastAsia="Times New Roman" w:hAnsi="Garamond"/>
          <w:sz w:val="24"/>
          <w:szCs w:val="24"/>
        </w:rPr>
        <w:t>For example, SDG&amp;E awarded three $75,000 grants in 2019 to local Reservations and one grant of $100,000 that was distributed to three Fire Safe Councils.</w:t>
      </w:r>
      <w:r w:rsidRPr="00D27CF3">
        <w:rPr>
          <w:rStyle w:val="FootnoteReference"/>
          <w:rFonts w:ascii="Garamond" w:eastAsia="Times New Roman" w:hAnsi="Garamond"/>
          <w:sz w:val="24"/>
          <w:szCs w:val="24"/>
        </w:rPr>
        <w:footnoteReference w:id="20"/>
      </w:r>
      <w:r w:rsidRPr="00D27CF3">
        <w:rPr>
          <w:rFonts w:ascii="Garamond" w:eastAsia="Times New Roman" w:hAnsi="Garamond"/>
          <w:sz w:val="24"/>
          <w:szCs w:val="24"/>
        </w:rPr>
        <w:t xml:space="preserve">  SDG&amp;E is expanding upon this program to further increase vegetation management and grants and to collaborate with other fuels managers to remove more vegetation.  </w:t>
      </w:r>
    </w:p>
    <w:p w14:paraId="051E8EAB" w14:textId="65EFA0C7" w:rsidR="00074DE1" w:rsidRDefault="00074DE1" w:rsidP="00C115EF">
      <w:pPr>
        <w:pStyle w:val="ListParagraph"/>
        <w:numPr>
          <w:ilvl w:val="1"/>
          <w:numId w:val="43"/>
        </w:numPr>
        <w:spacing w:after="0"/>
        <w:ind w:left="900"/>
        <w:contextualSpacing w:val="0"/>
        <w:rPr>
          <w:rFonts w:ascii="Garamond" w:eastAsia="Times New Roman" w:hAnsi="Garamond" w:cs="Times New Roman"/>
          <w:color w:val="000000"/>
          <w:sz w:val="24"/>
          <w:szCs w:val="24"/>
        </w:rPr>
      </w:pPr>
      <w:r w:rsidRPr="00074DE1">
        <w:rPr>
          <w:rFonts w:ascii="Garamond" w:eastAsia="Times New Roman" w:hAnsi="Garamond" w:cs="Times New Roman"/>
          <w:color w:val="000000"/>
          <w:sz w:val="24"/>
          <w:szCs w:val="24"/>
        </w:rPr>
        <w:t>These vegetation management plans, particularly if conducted in shrublands, should at a minimum be reviewed by several fire scientists and ecologists</w:t>
      </w:r>
      <w:r w:rsidR="00C50BC3">
        <w:rPr>
          <w:rFonts w:ascii="Garamond" w:eastAsia="Times New Roman" w:hAnsi="Garamond" w:cs="Times New Roman"/>
          <w:color w:val="000000"/>
          <w:sz w:val="24"/>
          <w:szCs w:val="24"/>
        </w:rPr>
        <w:t>.</w:t>
      </w:r>
    </w:p>
    <w:p w14:paraId="34F7DCCE" w14:textId="77777777" w:rsidR="00D50F32" w:rsidRPr="001B0090" w:rsidRDefault="00D50F32" w:rsidP="001B0090">
      <w:pPr>
        <w:spacing w:after="0"/>
        <w:rPr>
          <w:rFonts w:ascii="Garamond" w:eastAsia="Times New Roman" w:hAnsi="Garamond" w:cs="Times New Roman"/>
          <w:color w:val="000000"/>
          <w:sz w:val="24"/>
          <w:szCs w:val="24"/>
        </w:rPr>
      </w:pPr>
    </w:p>
    <w:p w14:paraId="561D780F" w14:textId="353A7946" w:rsidR="00306973" w:rsidRPr="00D27CF3" w:rsidRDefault="00306973" w:rsidP="00855C71">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4393B615" w14:textId="627AD1EE" w:rsidR="00306973" w:rsidRPr="00D27CF3" w:rsidRDefault="00B62667" w:rsidP="00855C71">
      <w:pPr>
        <w:pStyle w:val="ListParagraph"/>
        <w:numPr>
          <w:ilvl w:val="0"/>
          <w:numId w:val="15"/>
        </w:numPr>
        <w:contextualSpacing w:val="0"/>
        <w:rPr>
          <w:rFonts w:ascii="Garamond" w:eastAsia="Times New Roman" w:hAnsi="Garamond"/>
          <w:sz w:val="24"/>
          <w:szCs w:val="24"/>
        </w:rPr>
      </w:pPr>
      <w:r w:rsidRPr="00D27CF3">
        <w:rPr>
          <w:rFonts w:ascii="Garamond" w:eastAsia="Times New Roman" w:hAnsi="Garamond"/>
          <w:sz w:val="24"/>
          <w:szCs w:val="24"/>
        </w:rPr>
        <w:t>In future WMPs, utilities should submit project and pilot project plans, detail their vegetation management treat or remove plans, and evaluation criteria prior to implementation</w:t>
      </w:r>
      <w:r w:rsidR="00451D39">
        <w:rPr>
          <w:rFonts w:ascii="Garamond" w:eastAsia="Times New Roman" w:hAnsi="Garamond"/>
          <w:sz w:val="24"/>
          <w:szCs w:val="24"/>
        </w:rPr>
        <w:t>, defending their plans with relevant scientific citations</w:t>
      </w:r>
      <w:r w:rsidRPr="00D27CF3">
        <w:rPr>
          <w:rFonts w:ascii="Garamond" w:eastAsia="Times New Roman" w:hAnsi="Garamond"/>
          <w:sz w:val="24"/>
          <w:szCs w:val="24"/>
        </w:rPr>
        <w:t xml:space="preserve">.  </w:t>
      </w:r>
      <w:r w:rsidR="00712F6D" w:rsidRPr="00D27CF3">
        <w:rPr>
          <w:rFonts w:ascii="Garamond" w:eastAsia="Times New Roman" w:hAnsi="Garamond"/>
          <w:sz w:val="24"/>
          <w:szCs w:val="24"/>
        </w:rPr>
        <w:t>A</w:t>
      </w:r>
      <w:r w:rsidR="00306973" w:rsidRPr="00D27CF3">
        <w:rPr>
          <w:rFonts w:ascii="Garamond" w:eastAsia="Times New Roman" w:hAnsi="Garamond"/>
          <w:sz w:val="24"/>
          <w:szCs w:val="24"/>
        </w:rPr>
        <w:t>dditional detail</w:t>
      </w:r>
      <w:r w:rsidR="00712F6D" w:rsidRPr="00D27CF3">
        <w:rPr>
          <w:rFonts w:ascii="Garamond" w:eastAsia="Times New Roman" w:hAnsi="Garamond"/>
          <w:sz w:val="24"/>
          <w:szCs w:val="24"/>
        </w:rPr>
        <w:t>s</w:t>
      </w:r>
      <w:r w:rsidR="00306973" w:rsidRPr="00D27CF3">
        <w:rPr>
          <w:rFonts w:ascii="Garamond" w:eastAsia="Times New Roman" w:hAnsi="Garamond"/>
          <w:sz w:val="24"/>
          <w:szCs w:val="24"/>
        </w:rPr>
        <w:t xml:space="preserve"> about </w:t>
      </w:r>
      <w:r w:rsidR="00F51FF0" w:rsidRPr="00D27CF3">
        <w:rPr>
          <w:rFonts w:ascii="Garamond" w:eastAsia="Times New Roman" w:hAnsi="Garamond"/>
          <w:sz w:val="24"/>
          <w:szCs w:val="24"/>
        </w:rPr>
        <w:t>utilit</w:t>
      </w:r>
      <w:r w:rsidR="00F51FF0">
        <w:rPr>
          <w:rFonts w:ascii="Garamond" w:eastAsia="Times New Roman" w:hAnsi="Garamond"/>
          <w:sz w:val="24"/>
          <w:szCs w:val="24"/>
        </w:rPr>
        <w:t>ie</w:t>
      </w:r>
      <w:r w:rsidR="00F51FF0" w:rsidRPr="00D27CF3">
        <w:rPr>
          <w:rFonts w:ascii="Garamond" w:eastAsia="Times New Roman" w:hAnsi="Garamond"/>
          <w:sz w:val="24"/>
          <w:szCs w:val="24"/>
        </w:rPr>
        <w:t>s</w:t>
      </w:r>
      <w:r w:rsidR="00F51FF0">
        <w:rPr>
          <w:rFonts w:ascii="Garamond" w:eastAsia="Times New Roman" w:hAnsi="Garamond"/>
          <w:sz w:val="24"/>
          <w:szCs w:val="24"/>
        </w:rPr>
        <w:t>’</w:t>
      </w:r>
      <w:r w:rsidR="00F51FF0" w:rsidRPr="00D27CF3">
        <w:rPr>
          <w:rFonts w:ascii="Garamond" w:eastAsia="Times New Roman" w:hAnsi="Garamond"/>
          <w:sz w:val="24"/>
          <w:szCs w:val="24"/>
        </w:rPr>
        <w:t xml:space="preserve"> </w:t>
      </w:r>
      <w:r w:rsidR="00306973" w:rsidRPr="00D27CF3">
        <w:rPr>
          <w:rFonts w:ascii="Garamond" w:eastAsia="Times New Roman" w:hAnsi="Garamond"/>
          <w:sz w:val="24"/>
          <w:szCs w:val="24"/>
        </w:rPr>
        <w:t>intended fuel treatment plan</w:t>
      </w:r>
      <w:r w:rsidR="00352505" w:rsidRPr="00D27CF3">
        <w:rPr>
          <w:rFonts w:ascii="Garamond" w:eastAsia="Times New Roman" w:hAnsi="Garamond"/>
          <w:sz w:val="24"/>
          <w:szCs w:val="24"/>
        </w:rPr>
        <w:t xml:space="preserve"> </w:t>
      </w:r>
      <w:r w:rsidR="00712F6D" w:rsidRPr="00D27CF3">
        <w:rPr>
          <w:rFonts w:ascii="Garamond" w:eastAsia="Times New Roman" w:hAnsi="Garamond"/>
          <w:sz w:val="24"/>
          <w:szCs w:val="24"/>
        </w:rPr>
        <w:t>should be submitted</w:t>
      </w:r>
      <w:r w:rsidR="00271398" w:rsidRPr="00D27CF3">
        <w:rPr>
          <w:rFonts w:ascii="Garamond" w:eastAsia="Times New Roman" w:hAnsi="Garamond"/>
          <w:sz w:val="24"/>
          <w:szCs w:val="24"/>
        </w:rPr>
        <w:t xml:space="preserve"> so that</w:t>
      </w:r>
      <w:r w:rsidR="00306973" w:rsidRPr="00D27CF3">
        <w:rPr>
          <w:rFonts w:ascii="Garamond" w:eastAsia="Times New Roman" w:hAnsi="Garamond"/>
          <w:sz w:val="24"/>
          <w:szCs w:val="24"/>
        </w:rPr>
        <w:t xml:space="preserve"> CPUC can measure the </w:t>
      </w:r>
      <w:r w:rsidR="00271398" w:rsidRPr="00D27CF3">
        <w:rPr>
          <w:rFonts w:ascii="Garamond" w:eastAsia="Times New Roman" w:hAnsi="Garamond"/>
          <w:sz w:val="24"/>
          <w:szCs w:val="24"/>
        </w:rPr>
        <w:t xml:space="preserve">benefits </w:t>
      </w:r>
      <w:r w:rsidR="00306973" w:rsidRPr="00D27CF3">
        <w:rPr>
          <w:rFonts w:ascii="Garamond" w:eastAsia="Times New Roman" w:hAnsi="Garamond"/>
          <w:sz w:val="24"/>
          <w:szCs w:val="24"/>
        </w:rPr>
        <w:t>of utility is spending</w:t>
      </w:r>
      <w:r w:rsidR="00352505" w:rsidRPr="00D27CF3">
        <w:rPr>
          <w:rFonts w:ascii="Garamond" w:eastAsia="Times New Roman" w:hAnsi="Garamond"/>
          <w:sz w:val="24"/>
          <w:szCs w:val="24"/>
        </w:rPr>
        <w:t>.</w:t>
      </w:r>
      <w:r w:rsidR="00306973" w:rsidRPr="00D27CF3">
        <w:rPr>
          <w:rFonts w:ascii="Garamond" w:eastAsia="Times New Roman" w:hAnsi="Garamond"/>
          <w:sz w:val="24"/>
          <w:szCs w:val="24"/>
        </w:rPr>
        <w:t xml:space="preserve">  </w:t>
      </w:r>
      <w:r w:rsidR="0095527F" w:rsidRPr="00D27CF3">
        <w:rPr>
          <w:rFonts w:ascii="Garamond" w:eastAsia="Times New Roman" w:hAnsi="Garamond"/>
          <w:sz w:val="24"/>
          <w:szCs w:val="24"/>
        </w:rPr>
        <w:t xml:space="preserve">After project implementation, the utilities should provide detailed findings of successes and challenges.   </w:t>
      </w:r>
    </w:p>
    <w:p w14:paraId="04ACC37E" w14:textId="04FDA63B" w:rsidR="00306973" w:rsidRPr="008073C4" w:rsidRDefault="000325AC" w:rsidP="00C115EF">
      <w:pPr>
        <w:pStyle w:val="ListParagraph"/>
        <w:numPr>
          <w:ilvl w:val="0"/>
          <w:numId w:val="15"/>
        </w:numPr>
        <w:contextualSpacing w:val="0"/>
        <w:rPr>
          <w:rFonts w:ascii="Century Gothic" w:eastAsia="Times New Roman" w:hAnsi="Century Gothic"/>
        </w:rPr>
      </w:pPr>
      <w:r w:rsidRPr="008073C4">
        <w:rPr>
          <w:rFonts w:ascii="Garamond" w:eastAsia="Times New Roman" w:hAnsi="Garamond"/>
          <w:sz w:val="24"/>
          <w:szCs w:val="24"/>
        </w:rPr>
        <w:t>Submission of data for each vegetation treatment area including</w:t>
      </w:r>
      <w:r w:rsidR="001D6095">
        <w:rPr>
          <w:rFonts w:ascii="Garamond" w:eastAsia="Times New Roman" w:hAnsi="Garamond"/>
          <w:sz w:val="24"/>
          <w:szCs w:val="24"/>
        </w:rPr>
        <w:t xml:space="preserve"> </w:t>
      </w:r>
      <w:r w:rsidR="00535784">
        <w:rPr>
          <w:rFonts w:ascii="Garamond" w:eastAsia="Times New Roman" w:hAnsi="Garamond"/>
          <w:sz w:val="24"/>
          <w:szCs w:val="24"/>
        </w:rPr>
        <w:t xml:space="preserve">longitude/latitude, </w:t>
      </w:r>
      <w:r w:rsidR="00803CAA" w:rsidRPr="008073C4">
        <w:rPr>
          <w:rFonts w:ascii="Garamond" w:eastAsia="Times New Roman" w:hAnsi="Garamond"/>
          <w:color w:val="000000"/>
          <w:sz w:val="24"/>
          <w:szCs w:val="24"/>
        </w:rPr>
        <w:t>species and sub-species, environment type (forested or non-forested), type of treatment, treatment details, justification, fuel removal</w:t>
      </w:r>
      <w:r w:rsidR="001D6095" w:rsidRPr="008073C4">
        <w:rPr>
          <w:rFonts w:ascii="Garamond" w:eastAsia="Times New Roman" w:hAnsi="Garamond"/>
          <w:color w:val="000000"/>
          <w:sz w:val="24"/>
          <w:szCs w:val="24"/>
        </w:rPr>
        <w:t xml:space="preserve">, </w:t>
      </w:r>
      <w:r w:rsidR="00306973" w:rsidRPr="008073C4">
        <w:rPr>
          <w:rFonts w:ascii="Garamond" w:eastAsia="Times New Roman" w:hAnsi="Garamond"/>
          <w:sz w:val="24"/>
          <w:szCs w:val="24"/>
        </w:rPr>
        <w:t xml:space="preserve">estimated cost to complete treatment, risk reduction, and risk-spend efficiency.  </w:t>
      </w:r>
      <w:r w:rsidR="00306973" w:rsidRPr="008073C4">
        <w:rPr>
          <w:rFonts w:ascii="Garamond" w:eastAsia="Times New Roman" w:hAnsi="Garamond"/>
          <w:sz w:val="24"/>
          <w:szCs w:val="24"/>
        </w:rPr>
        <w:br/>
      </w:r>
    </w:p>
    <w:p w14:paraId="61DCA76C" w14:textId="39E6A15F" w:rsidR="00306973" w:rsidRDefault="00306973" w:rsidP="00C115EF"/>
    <w:p w14:paraId="5FC97C59" w14:textId="353A7946" w:rsidR="0005716C" w:rsidRPr="0005716C" w:rsidRDefault="00306973" w:rsidP="00C115EF">
      <w:r>
        <w:br w:type="page"/>
      </w:r>
    </w:p>
    <w:p w14:paraId="64A5C789" w14:textId="294B126A" w:rsidR="00C52BD6" w:rsidRPr="00D27CF3" w:rsidRDefault="000E488A" w:rsidP="00C115EF">
      <w:pPr>
        <w:pStyle w:val="Heading1"/>
      </w:pPr>
      <w:bookmarkStart w:id="11" w:name="_Toc36750066"/>
      <w:r>
        <w:t>6</w:t>
      </w:r>
      <w:r w:rsidR="00454E93" w:rsidRPr="00D27CF3">
        <w:t xml:space="preserve">. </w:t>
      </w:r>
      <w:bookmarkStart w:id="12" w:name="_Toc36319417"/>
      <w:r w:rsidR="006F22B1" w:rsidRPr="00D27CF3">
        <w:t>Analyz</w:t>
      </w:r>
      <w:r w:rsidR="007064A3">
        <w:t>ing</w:t>
      </w:r>
      <w:r w:rsidR="006F22B1" w:rsidRPr="00D27CF3">
        <w:t xml:space="preserve"> Near Misses</w:t>
      </w:r>
      <w:bookmarkEnd w:id="11"/>
    </w:p>
    <w:bookmarkEnd w:id="12"/>
    <w:p w14:paraId="0396FE41" w14:textId="77777777" w:rsidR="002A5439" w:rsidRPr="002A5439" w:rsidRDefault="002A5439" w:rsidP="00C115EF">
      <w:pPr>
        <w:spacing w:after="0"/>
        <w:rPr>
          <w:sz w:val="8"/>
          <w:szCs w:val="8"/>
        </w:rPr>
      </w:pP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306973" w:rsidRPr="007C7BDA" w14:paraId="4174D5B3" w14:textId="77777777" w:rsidTr="007C122F">
        <w:trPr>
          <w:trHeight w:val="436"/>
          <w:jc w:val="center"/>
        </w:trPr>
        <w:tc>
          <w:tcPr>
            <w:tcW w:w="6480" w:type="dxa"/>
            <w:gridSpan w:val="2"/>
            <w:tcBorders>
              <w:bottom w:val="single" w:sz="12" w:space="0" w:color="8496B0" w:themeColor="text2" w:themeTint="99"/>
            </w:tcBorders>
            <w:shd w:val="clear" w:color="auto" w:fill="D9E2F3" w:themeFill="accent1" w:themeFillTint="33"/>
          </w:tcPr>
          <w:p w14:paraId="1EFD75E7" w14:textId="77777777" w:rsidR="00306973" w:rsidRPr="007C7BDA" w:rsidRDefault="00306973" w:rsidP="00C115EF">
            <w:pPr>
              <w:spacing w:before="60"/>
              <w:ind w:left="432"/>
              <w:rPr>
                <w:rFonts w:ascii="Garamond" w:hAnsi="Garamond"/>
              </w:rPr>
            </w:pPr>
            <w:r w:rsidRPr="007C7BDA">
              <w:rPr>
                <w:b/>
                <w:bCs/>
                <w:noProof/>
              </w:rPr>
              <w:drawing>
                <wp:anchor distT="0" distB="0" distL="114300" distR="114300" simplePos="0" relativeHeight="251658252" behindDoc="0" locked="0" layoutInCell="1" allowOverlap="0" wp14:anchorId="705E7E44" wp14:editId="741EECDD">
                  <wp:simplePos x="0" y="0"/>
                  <wp:positionH relativeFrom="leftMargin">
                    <wp:posOffset>59690</wp:posOffset>
                  </wp:positionH>
                  <wp:positionV relativeFrom="paragraph">
                    <wp:posOffset>5927</wp:posOffset>
                  </wp:positionV>
                  <wp:extent cx="246888" cy="246888"/>
                  <wp:effectExtent l="0" t="0" r="1270" b="1270"/>
                  <wp:wrapNone/>
                  <wp:docPr id="38" name="Graphic 38"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1634056348"/>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1598934999"/>
                <w14:checkbox>
                  <w14:checked w14:val="0"/>
                  <w14:checkedState w14:val="2612" w14:font="MS Gothic"/>
                  <w14:uncheckedState w14:val="2610" w14:font="MS Gothic"/>
                </w14:checkbox>
              </w:sdtPr>
              <w:sdtEndPr/>
              <w:sdtContent>
                <w:r w:rsidRPr="007C7BDA">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752045782"/>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340789042"/>
                <w14:checkbox>
                  <w14:checked w14:val="1"/>
                  <w14:checkedState w14:val="2612" w14:font="MS Gothic"/>
                  <w14:uncheckedState w14:val="2610" w14:font="MS Gothic"/>
                </w14:checkbox>
              </w:sdtPr>
              <w:sdtEndPr/>
              <w:sdtContent>
                <w:r w:rsidRPr="00D27CF3">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7CA0D769" w14:textId="1E4AFA13" w:rsidR="00306973" w:rsidRPr="007C7BDA" w:rsidRDefault="00306973" w:rsidP="00C115EF">
            <w:pPr>
              <w:spacing w:before="60"/>
              <w:ind w:left="-15"/>
              <w:rPr>
                <w:rFonts w:ascii="Garamond" w:hAnsi="Garamond"/>
              </w:rPr>
            </w:pPr>
            <w:r>
              <w:rPr>
                <w:rFonts w:ascii="Garamond" w:hAnsi="Garamond"/>
                <w:noProof/>
              </w:rPr>
              <w:drawing>
                <wp:anchor distT="0" distB="0" distL="114300" distR="114300" simplePos="0" relativeHeight="251658253" behindDoc="0" locked="0" layoutInCell="1" allowOverlap="1" wp14:anchorId="6171C55B" wp14:editId="64AD23A0">
                  <wp:simplePos x="0" y="0"/>
                  <wp:positionH relativeFrom="column">
                    <wp:posOffset>-28575</wp:posOffset>
                  </wp:positionH>
                  <wp:positionV relativeFrom="paragraph">
                    <wp:posOffset>-20320</wp:posOffset>
                  </wp:positionV>
                  <wp:extent cx="295275" cy="295275"/>
                  <wp:effectExtent l="0" t="0" r="0" b="0"/>
                  <wp:wrapNone/>
                  <wp:docPr id="39" name="Graphic 39"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0E488A">
              <w:rPr>
                <w:rFonts w:ascii="Garamond" w:hAnsi="Garamond"/>
              </w:rPr>
              <w:t>6</w:t>
            </w:r>
          </w:p>
        </w:tc>
      </w:tr>
      <w:tr w:rsidR="00306973" w14:paraId="6BEB1D07" w14:textId="77777777" w:rsidTr="007C122F">
        <w:trPr>
          <w:trHeight w:val="79"/>
          <w:jc w:val="center"/>
        </w:trPr>
        <w:tc>
          <w:tcPr>
            <w:tcW w:w="9630" w:type="dxa"/>
            <w:gridSpan w:val="3"/>
            <w:tcBorders>
              <w:left w:val="nil"/>
              <w:bottom w:val="single" w:sz="12" w:space="0" w:color="8496B0" w:themeColor="text2" w:themeTint="99"/>
              <w:right w:val="nil"/>
            </w:tcBorders>
          </w:tcPr>
          <w:p w14:paraId="3A3705ED" w14:textId="77777777" w:rsidR="00306973" w:rsidRPr="00D27CF3" w:rsidRDefault="00306973" w:rsidP="00855C71">
            <w:pPr>
              <w:rPr>
                <w:rFonts w:eastAsia="Times New Roman" w:cstheme="minorHAnsi"/>
                <w:sz w:val="8"/>
                <w:szCs w:val="8"/>
              </w:rPr>
            </w:pPr>
          </w:p>
        </w:tc>
      </w:tr>
      <w:tr w:rsidR="00306973" w14:paraId="7476BB84" w14:textId="77777777" w:rsidTr="007C122F">
        <w:trPr>
          <w:trHeight w:val="285"/>
          <w:jc w:val="center"/>
        </w:trPr>
        <w:tc>
          <w:tcPr>
            <w:tcW w:w="9630" w:type="dxa"/>
            <w:gridSpan w:val="3"/>
            <w:tcBorders>
              <w:bottom w:val="nil"/>
            </w:tcBorders>
            <w:shd w:val="clear" w:color="auto" w:fill="D9E2F3" w:themeFill="accent1" w:themeFillTint="33"/>
          </w:tcPr>
          <w:p w14:paraId="35C57DC5" w14:textId="77777777" w:rsidR="00306973" w:rsidRPr="00D27CF3" w:rsidRDefault="00306973"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306973" w14:paraId="4426825B" w14:textId="77777777" w:rsidTr="007C122F">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0A04A5B3"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740749832"/>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p w14:paraId="6F55897C"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416098945"/>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3F88427F" w14:textId="77777777" w:rsidR="00306973" w:rsidRPr="00D27CF3" w:rsidRDefault="00306973"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696BE411"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013368843"/>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 incl. Risk Spend Efficiency</w:t>
            </w:r>
          </w:p>
          <w:p w14:paraId="6B194986" w14:textId="0BB79477" w:rsidR="00306973"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181253401"/>
                <w14:checkbox>
                  <w14:checked w14:val="1"/>
                  <w14:checkedState w14:val="2612" w14:font="MS Gothic"/>
                  <w14:uncheckedState w14:val="2610" w14:font="MS Gothic"/>
                </w14:checkbox>
              </w:sdtPr>
              <w:sdtEndPr/>
              <w:sdtContent>
                <w:r w:rsidR="00782FBD">
                  <w:rPr>
                    <w:rFonts w:ascii="MS Gothic" w:eastAsia="MS Gothic" w:hAnsi="MS Gothic" w:cs="Segoe UI Symbol" w:hint="eastAsia"/>
                    <w:sz w:val="20"/>
                    <w:szCs w:val="20"/>
                  </w:rPr>
                  <w:t>☒</w:t>
                </w:r>
              </w:sdtContent>
            </w:sdt>
            <w:r w:rsidR="00306973" w:rsidRPr="00D27CF3">
              <w:rPr>
                <w:rFonts w:ascii="Garamond" w:eastAsia="Times New Roman" w:hAnsi="Garamond"/>
                <w:sz w:val="20"/>
                <w:szCs w:val="20"/>
              </w:rPr>
              <w:t xml:space="preserve"> Communication with the community, planning, preparedness and recovery after PSPS events</w:t>
            </w:r>
          </w:p>
        </w:tc>
      </w:tr>
      <w:tr w:rsidR="00306973" w14:paraId="4F023785" w14:textId="77777777" w:rsidTr="007C122F">
        <w:trPr>
          <w:trHeight w:val="43"/>
          <w:jc w:val="center"/>
        </w:trPr>
        <w:tc>
          <w:tcPr>
            <w:tcW w:w="9630" w:type="dxa"/>
            <w:gridSpan w:val="3"/>
            <w:tcBorders>
              <w:left w:val="nil"/>
              <w:bottom w:val="single" w:sz="12" w:space="0" w:color="8496B0" w:themeColor="text2" w:themeTint="99"/>
              <w:right w:val="nil"/>
            </w:tcBorders>
          </w:tcPr>
          <w:p w14:paraId="1463AD76" w14:textId="77777777" w:rsidR="00306973" w:rsidRPr="00D27CF3" w:rsidRDefault="00306973" w:rsidP="00855C71">
            <w:pPr>
              <w:spacing w:line="276" w:lineRule="auto"/>
              <w:rPr>
                <w:rFonts w:eastAsia="Times New Roman" w:cstheme="minorHAnsi"/>
                <w:sz w:val="8"/>
                <w:szCs w:val="8"/>
              </w:rPr>
            </w:pPr>
          </w:p>
        </w:tc>
      </w:tr>
      <w:tr w:rsidR="00306973" w14:paraId="0B06048C" w14:textId="77777777" w:rsidTr="007C122F">
        <w:trPr>
          <w:trHeight w:val="43"/>
          <w:jc w:val="center"/>
        </w:trPr>
        <w:tc>
          <w:tcPr>
            <w:tcW w:w="9630" w:type="dxa"/>
            <w:gridSpan w:val="3"/>
            <w:tcBorders>
              <w:bottom w:val="nil"/>
            </w:tcBorders>
            <w:shd w:val="clear" w:color="auto" w:fill="D9E2F3" w:themeFill="accent1" w:themeFillTint="33"/>
          </w:tcPr>
          <w:p w14:paraId="2318D73D" w14:textId="77777777" w:rsidR="00306973" w:rsidRPr="007C7BDA" w:rsidRDefault="00306973"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306973" w14:paraId="07BB485C" w14:textId="77777777" w:rsidTr="007C122F">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00E929FB"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728757767"/>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Risk assessment and mapping</w:t>
            </w:r>
          </w:p>
          <w:p w14:paraId="0BFC41BA"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570581362"/>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Situational awareness and forecasting</w:t>
            </w:r>
          </w:p>
          <w:p w14:paraId="6772313E"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14166999"/>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22D81777"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858663435"/>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Asset management and inspections</w:t>
            </w:r>
          </w:p>
          <w:p w14:paraId="5708FCA8"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110542857"/>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0ED19D5D"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796182177"/>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operations and protocols</w:t>
            </w:r>
          </w:p>
          <w:p w14:paraId="1A8EB495"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834954645"/>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Data governance</w:t>
            </w:r>
          </w:p>
          <w:p w14:paraId="6FB269A7"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035261321"/>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w:t>
            </w:r>
          </w:p>
          <w:p w14:paraId="2A8C2E58"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607921681"/>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Emergency planning and preparedness</w:t>
            </w:r>
          </w:p>
          <w:p w14:paraId="5EDAB76A" w14:textId="77777777" w:rsidR="00306973" w:rsidRPr="009D23C5" w:rsidRDefault="00E20D41" w:rsidP="00C115EF">
            <w:pPr>
              <w:spacing w:before="60" w:line="276" w:lineRule="auto"/>
              <w:ind w:left="360"/>
              <w:rPr>
                <w:rFonts w:ascii="Garamond" w:hAnsi="Garamond"/>
                <w:b/>
                <w:bCs/>
                <w:sz w:val="20"/>
                <w:szCs w:val="20"/>
              </w:rPr>
            </w:pPr>
            <w:sdt>
              <w:sdtPr>
                <w:rPr>
                  <w:rFonts w:ascii="Garamond" w:eastAsia="Times New Roman" w:hAnsi="Garamond"/>
                  <w:sz w:val="20"/>
                  <w:szCs w:val="20"/>
                </w:rPr>
                <w:id w:val="581418664"/>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Stakeholder cooperation and community engagement</w:t>
            </w:r>
          </w:p>
        </w:tc>
      </w:tr>
      <w:tr w:rsidR="00306973" w14:paraId="70869BEE" w14:textId="77777777" w:rsidTr="007C122F">
        <w:trPr>
          <w:trHeight w:val="51"/>
          <w:jc w:val="center"/>
        </w:trPr>
        <w:tc>
          <w:tcPr>
            <w:tcW w:w="9630" w:type="dxa"/>
            <w:gridSpan w:val="3"/>
            <w:tcBorders>
              <w:left w:val="nil"/>
              <w:right w:val="nil"/>
            </w:tcBorders>
          </w:tcPr>
          <w:p w14:paraId="36D3A5A6" w14:textId="77777777" w:rsidR="00306973" w:rsidRPr="007D218D" w:rsidRDefault="00306973" w:rsidP="00855C71">
            <w:pPr>
              <w:rPr>
                <w:rFonts w:cstheme="minorHAnsi"/>
                <w:sz w:val="8"/>
                <w:szCs w:val="8"/>
              </w:rPr>
            </w:pPr>
          </w:p>
        </w:tc>
      </w:tr>
      <w:tr w:rsidR="00306973" w14:paraId="13B04633" w14:textId="77777777" w:rsidTr="007C122F">
        <w:trPr>
          <w:trHeight w:val="489"/>
          <w:jc w:val="center"/>
        </w:trPr>
        <w:tc>
          <w:tcPr>
            <w:tcW w:w="9630" w:type="dxa"/>
            <w:gridSpan w:val="3"/>
            <w:shd w:val="clear" w:color="auto" w:fill="D9E2F3" w:themeFill="accent1" w:themeFillTint="33"/>
          </w:tcPr>
          <w:p w14:paraId="7718F65D" w14:textId="77777777" w:rsidR="00306973" w:rsidRPr="00D95954" w:rsidRDefault="00306973"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51" behindDoc="0" locked="0" layoutInCell="1" allowOverlap="1" wp14:anchorId="613C9CB8" wp14:editId="6D5538C0">
                  <wp:simplePos x="0" y="0"/>
                  <wp:positionH relativeFrom="leftMargin">
                    <wp:posOffset>59690</wp:posOffset>
                  </wp:positionH>
                  <wp:positionV relativeFrom="paragraph">
                    <wp:posOffset>37677</wp:posOffset>
                  </wp:positionV>
                  <wp:extent cx="245534" cy="194627"/>
                  <wp:effectExtent l="0" t="0" r="0" b="0"/>
                  <wp:wrapNone/>
                  <wp:docPr id="40" name="Graphic 40"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1915694645"/>
                <w14:checkbox>
                  <w14:checked w14:val="0"/>
                  <w14:checkedState w14:val="2612" w14:font="MS Gothic"/>
                  <w14:uncheckedState w14:val="2610" w14:font="MS Gothic"/>
                </w14:checkbox>
              </w:sdtPr>
              <w:sdtEndPr/>
              <w:sdtContent>
                <w:r w:rsidRPr="00BF7E3D">
                  <w:rPr>
                    <w:rFonts w:ascii="Segoe UI Symbol" w:hAnsi="Segoe UI Symbol" w:cs="Segoe UI Symbol"/>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131957525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2099895587"/>
                <w14:checkbox>
                  <w14:checked w14:val="0"/>
                  <w14:checkedState w14:val="2612" w14:font="MS Gothic"/>
                  <w14:uncheckedState w14:val="2610" w14:font="MS Gothic"/>
                </w14:checkbox>
              </w:sdtPr>
              <w:sdtEndPr/>
              <w:sdtContent>
                <w:r w:rsidRPr="00BF7E3D">
                  <w:rPr>
                    <w:rFonts w:ascii="Segoe UI Symbol" w:hAnsi="Segoe UI Symbol" w:cs="Segoe UI Symbol"/>
                  </w:rPr>
                  <w:t>☐</w:t>
                </w:r>
              </w:sdtContent>
            </w:sdt>
            <w:r w:rsidRPr="006705ED">
              <w:rPr>
                <w:rFonts w:ascii="Garamond" w:hAnsi="Garamond"/>
              </w:rPr>
              <w:t xml:space="preserve"> Mid Term </w:t>
            </w:r>
            <w:r>
              <w:rPr>
                <w:rFonts w:ascii="Garamond" w:hAnsi="Garamond"/>
              </w:rPr>
              <w:t xml:space="preserve">    </w:t>
            </w:r>
            <w:sdt>
              <w:sdtPr>
                <w:rPr>
                  <w:rFonts w:ascii="Garamond" w:hAnsi="Garamond"/>
                </w:rPr>
                <w:id w:val="-132801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tbl>
    <w:p w14:paraId="6C81C21B" w14:textId="77777777" w:rsidR="00306973" w:rsidRDefault="00306973" w:rsidP="00855C71">
      <w:pPr>
        <w:spacing w:after="0"/>
        <w:rPr>
          <w:rFonts w:ascii="Century Gothic" w:hAnsi="Century Gothic"/>
          <w:b/>
          <w:bCs/>
        </w:rPr>
      </w:pPr>
    </w:p>
    <w:p w14:paraId="49006CC3" w14:textId="77777777" w:rsidR="00306973" w:rsidRPr="003325D0" w:rsidRDefault="00306973" w:rsidP="00855C71">
      <w:pPr>
        <w:rPr>
          <w:rFonts w:ascii="Century Gothic" w:hAnsi="Century Gothic"/>
        </w:rPr>
      </w:pPr>
      <w:r w:rsidRPr="003325D0">
        <w:rPr>
          <w:rFonts w:ascii="Century Gothic" w:hAnsi="Century Gothic"/>
        </w:rPr>
        <w:t>Issue/Metric:</w:t>
      </w:r>
    </w:p>
    <w:p w14:paraId="6ABF56D1" w14:textId="357B631C" w:rsidR="00306973" w:rsidRPr="00B06569" w:rsidRDefault="00AC1BAD" w:rsidP="00C115EF">
      <w:pPr>
        <w:pStyle w:val="ListParagraph"/>
        <w:numPr>
          <w:ilvl w:val="0"/>
          <w:numId w:val="36"/>
        </w:numPr>
        <w:spacing w:after="0"/>
        <w:contextualSpacing w:val="0"/>
        <w:rPr>
          <w:rFonts w:ascii="Garamond" w:hAnsi="Garamond"/>
          <w:sz w:val="24"/>
          <w:szCs w:val="24"/>
        </w:rPr>
      </w:pPr>
      <w:r w:rsidRPr="00B06569">
        <w:rPr>
          <w:rFonts w:ascii="Garamond" w:hAnsi="Garamond"/>
          <w:sz w:val="24"/>
          <w:szCs w:val="24"/>
        </w:rPr>
        <w:t xml:space="preserve">Tracking incidents that occur during PSPS events </w:t>
      </w:r>
      <w:r w:rsidR="00B06569">
        <w:rPr>
          <w:rFonts w:ascii="Garamond" w:hAnsi="Garamond"/>
          <w:sz w:val="24"/>
          <w:szCs w:val="24"/>
        </w:rPr>
        <w:t>to</w:t>
      </w:r>
      <w:r w:rsidRPr="00B06569">
        <w:rPr>
          <w:rFonts w:ascii="Garamond" w:hAnsi="Garamond"/>
          <w:sz w:val="24"/>
          <w:szCs w:val="24"/>
        </w:rPr>
        <w:t xml:space="preserve"> determine </w:t>
      </w:r>
      <w:r w:rsidR="006F22B1" w:rsidRPr="00B06569">
        <w:rPr>
          <w:rFonts w:ascii="Garamond" w:hAnsi="Garamond"/>
          <w:sz w:val="24"/>
          <w:szCs w:val="24"/>
        </w:rPr>
        <w:t xml:space="preserve">the </w:t>
      </w:r>
      <w:r w:rsidR="00306973" w:rsidRPr="00B06569">
        <w:rPr>
          <w:rFonts w:ascii="Garamond" w:hAnsi="Garamond"/>
          <w:sz w:val="24"/>
          <w:szCs w:val="24"/>
        </w:rPr>
        <w:t xml:space="preserve">effectiveness of each utility’s grid hardening and vegetation management </w:t>
      </w:r>
      <w:r w:rsidR="001A667B">
        <w:rPr>
          <w:rFonts w:ascii="Garamond" w:hAnsi="Garamond"/>
          <w:sz w:val="24"/>
          <w:szCs w:val="24"/>
        </w:rPr>
        <w:t>programs</w:t>
      </w:r>
      <w:r w:rsidR="00B95C20">
        <w:rPr>
          <w:rFonts w:ascii="Garamond" w:hAnsi="Garamond"/>
          <w:sz w:val="24"/>
          <w:szCs w:val="24"/>
        </w:rPr>
        <w:t xml:space="preserve">, and speed of restoration programs. </w:t>
      </w:r>
      <w:r w:rsidR="00B95C20" w:rsidRPr="00B06569" w:rsidDel="006F22B1">
        <w:rPr>
          <w:rFonts w:ascii="Garamond" w:hAnsi="Garamond"/>
          <w:sz w:val="24"/>
          <w:szCs w:val="24"/>
        </w:rPr>
        <w:t xml:space="preserve"> </w:t>
      </w:r>
      <w:r w:rsidR="006F22B1" w:rsidRPr="00B06569" w:rsidDel="006F22B1">
        <w:rPr>
          <w:rFonts w:ascii="Garamond" w:hAnsi="Garamond"/>
          <w:sz w:val="24"/>
          <w:szCs w:val="24"/>
        </w:rPr>
        <w:t xml:space="preserve"> </w:t>
      </w:r>
    </w:p>
    <w:p w14:paraId="7B524A01" w14:textId="2C52B9DB" w:rsidR="00E90A2F" w:rsidRPr="00B35714" w:rsidRDefault="00E90A2F" w:rsidP="00855C71">
      <w:pPr>
        <w:spacing w:after="0"/>
        <w:rPr>
          <w:rFonts w:ascii="Garamond" w:hAnsi="Garamond"/>
          <w:sz w:val="24"/>
          <w:szCs w:val="24"/>
        </w:rPr>
      </w:pPr>
    </w:p>
    <w:p w14:paraId="4972711C" w14:textId="27B62F00" w:rsidR="00306973" w:rsidRPr="003325D0" w:rsidRDefault="00306973" w:rsidP="00855C71">
      <w:pPr>
        <w:rPr>
          <w:rFonts w:ascii="Century Gothic" w:hAnsi="Century Gothic"/>
        </w:rPr>
      </w:pPr>
      <w:r w:rsidRPr="003325D0">
        <w:rPr>
          <w:rFonts w:ascii="Century Gothic" w:hAnsi="Century Gothic"/>
        </w:rPr>
        <w:t>Current WMP Requirement</w:t>
      </w:r>
      <w:r w:rsidR="00BC25F2">
        <w:rPr>
          <w:rFonts w:ascii="Century Gothic" w:hAnsi="Century Gothic"/>
        </w:rPr>
        <w:t>s</w:t>
      </w:r>
      <w:r w:rsidRPr="003325D0">
        <w:rPr>
          <w:rFonts w:ascii="Century Gothic" w:hAnsi="Century Gothic"/>
        </w:rPr>
        <w:t>:</w:t>
      </w:r>
    </w:p>
    <w:p w14:paraId="466A0933" w14:textId="35B1D6F7" w:rsidR="00306973" w:rsidRPr="008C0768" w:rsidRDefault="00306973" w:rsidP="00C115EF">
      <w:pPr>
        <w:pStyle w:val="ListParagraph"/>
        <w:numPr>
          <w:ilvl w:val="0"/>
          <w:numId w:val="18"/>
        </w:numPr>
        <w:contextualSpacing w:val="0"/>
        <w:rPr>
          <w:rFonts w:ascii="Garamond" w:hAnsi="Garamond"/>
          <w:sz w:val="24"/>
          <w:szCs w:val="24"/>
        </w:rPr>
      </w:pPr>
      <w:r>
        <w:rPr>
          <w:rFonts w:ascii="Garamond" w:hAnsi="Garamond"/>
          <w:sz w:val="24"/>
          <w:szCs w:val="24"/>
        </w:rPr>
        <w:t>A near miss is “a</w:t>
      </w:r>
      <w:r w:rsidRPr="00DE1D38">
        <w:rPr>
          <w:rFonts w:ascii="Garamond" w:hAnsi="Garamond"/>
          <w:sz w:val="24"/>
          <w:szCs w:val="24"/>
        </w:rPr>
        <w:t>n event with significant probability of ignition, including wires down, contacts with</w:t>
      </w:r>
      <w:r>
        <w:rPr>
          <w:rFonts w:ascii="Garamond" w:hAnsi="Garamond"/>
          <w:sz w:val="24"/>
          <w:szCs w:val="24"/>
        </w:rPr>
        <w:t xml:space="preserve"> </w:t>
      </w:r>
      <w:r w:rsidRPr="008C0768">
        <w:rPr>
          <w:rFonts w:ascii="Garamond" w:hAnsi="Garamond"/>
          <w:sz w:val="24"/>
          <w:szCs w:val="24"/>
        </w:rPr>
        <w:t>objects, line slap, events with evidence of significant heat generation, and other</w:t>
      </w:r>
      <w:r>
        <w:rPr>
          <w:rFonts w:ascii="Garamond" w:hAnsi="Garamond"/>
          <w:sz w:val="24"/>
          <w:szCs w:val="24"/>
        </w:rPr>
        <w:t xml:space="preserve"> </w:t>
      </w:r>
      <w:r w:rsidRPr="00D27CF3">
        <w:rPr>
          <w:rFonts w:ascii="Garamond" w:eastAsia="Times New Roman" w:hAnsi="Garamond"/>
          <w:sz w:val="24"/>
          <w:szCs w:val="24"/>
        </w:rPr>
        <w:t>events that cause sparking or have the potential to cause ignition.”</w:t>
      </w:r>
      <w:r w:rsidR="006F22B1" w:rsidRPr="00D27CF3">
        <w:rPr>
          <w:rStyle w:val="FootnoteReference"/>
          <w:rFonts w:ascii="Garamond" w:eastAsia="Times New Roman" w:hAnsi="Garamond"/>
          <w:sz w:val="24"/>
          <w:szCs w:val="24"/>
        </w:rPr>
        <w:footnoteReference w:id="21"/>
      </w:r>
    </w:p>
    <w:p w14:paraId="6CEFD50C" w14:textId="2AEE84CE" w:rsidR="00306973" w:rsidRDefault="00306973" w:rsidP="00C115EF">
      <w:pPr>
        <w:pStyle w:val="ListParagraph"/>
        <w:numPr>
          <w:ilvl w:val="0"/>
          <w:numId w:val="18"/>
        </w:numPr>
        <w:spacing w:after="0"/>
        <w:contextualSpacing w:val="0"/>
        <w:rPr>
          <w:rFonts w:ascii="Garamond" w:hAnsi="Garamond"/>
          <w:sz w:val="24"/>
          <w:szCs w:val="24"/>
        </w:rPr>
      </w:pPr>
      <w:r>
        <w:rPr>
          <w:rFonts w:ascii="Garamond" w:hAnsi="Garamond"/>
          <w:sz w:val="24"/>
          <w:szCs w:val="24"/>
        </w:rPr>
        <w:t xml:space="preserve">The </w:t>
      </w:r>
      <w:r w:rsidR="00CD2046">
        <w:rPr>
          <w:rFonts w:ascii="Garamond" w:hAnsi="Garamond"/>
          <w:sz w:val="24"/>
          <w:szCs w:val="24"/>
        </w:rPr>
        <w:t xml:space="preserve">2020 </w:t>
      </w:r>
      <w:r>
        <w:rPr>
          <w:rFonts w:ascii="Garamond" w:hAnsi="Garamond"/>
          <w:sz w:val="24"/>
          <w:szCs w:val="24"/>
        </w:rPr>
        <w:t>WMP Guidelines request near miss data in Sections 2.3, 3.2, 4.3, 5.3.7, and 5.6.1</w:t>
      </w:r>
      <w:r w:rsidR="006F22B1">
        <w:rPr>
          <w:rFonts w:ascii="Garamond" w:hAnsi="Garamond"/>
          <w:sz w:val="24"/>
          <w:szCs w:val="24"/>
        </w:rPr>
        <w:t>.</w:t>
      </w:r>
      <w:r>
        <w:rPr>
          <w:rFonts w:ascii="Garamond" w:hAnsi="Garamond"/>
          <w:sz w:val="24"/>
          <w:szCs w:val="24"/>
        </w:rPr>
        <w:t xml:space="preserve">  </w:t>
      </w:r>
    </w:p>
    <w:p w14:paraId="47CD204D" w14:textId="77777777" w:rsidR="00306973" w:rsidRPr="00B35714" w:rsidRDefault="00306973" w:rsidP="00C115EF">
      <w:pPr>
        <w:spacing w:after="0"/>
        <w:rPr>
          <w:rFonts w:ascii="Garamond" w:hAnsi="Garamond"/>
          <w:sz w:val="24"/>
          <w:szCs w:val="24"/>
        </w:rPr>
      </w:pPr>
    </w:p>
    <w:p w14:paraId="235CF607" w14:textId="1A7AB831" w:rsidR="00306973" w:rsidRPr="00D27CF3" w:rsidRDefault="004E0F96" w:rsidP="00C115EF">
      <w:pPr>
        <w:rPr>
          <w:rFonts w:ascii="Century Gothic" w:eastAsia="Times New Roman" w:hAnsi="Century Gothic"/>
        </w:rPr>
      </w:pPr>
      <w:r>
        <w:rPr>
          <w:rFonts w:ascii="Century Gothic" w:eastAsia="Times New Roman" w:hAnsi="Century Gothic"/>
        </w:rPr>
        <w:t xml:space="preserve">Board </w:t>
      </w:r>
      <w:r w:rsidR="00306973" w:rsidRPr="00D27CF3">
        <w:rPr>
          <w:rFonts w:ascii="Century Gothic" w:eastAsia="Times New Roman" w:hAnsi="Century Gothic"/>
        </w:rPr>
        <w:t>Recommendation</w:t>
      </w:r>
      <w:r w:rsidR="00BC25F2" w:rsidRPr="00D27CF3">
        <w:rPr>
          <w:rFonts w:ascii="Century Gothic" w:eastAsia="Times New Roman" w:hAnsi="Century Gothic"/>
        </w:rPr>
        <w:t>s</w:t>
      </w:r>
      <w:r w:rsidR="00306973" w:rsidRPr="00D27CF3">
        <w:rPr>
          <w:rFonts w:ascii="Century Gothic" w:eastAsia="Times New Roman" w:hAnsi="Century Gothic"/>
        </w:rPr>
        <w:t xml:space="preserve">: </w:t>
      </w:r>
    </w:p>
    <w:p w14:paraId="0A324F9E" w14:textId="5C292E60" w:rsidR="00E14D7C" w:rsidRPr="00EA218F" w:rsidRDefault="0023665C" w:rsidP="00C115EF">
      <w:pPr>
        <w:pStyle w:val="ListParagraph"/>
        <w:numPr>
          <w:ilvl w:val="0"/>
          <w:numId w:val="11"/>
        </w:numPr>
        <w:spacing w:after="0"/>
        <w:ind w:left="360"/>
        <w:contextualSpacing w:val="0"/>
        <w:rPr>
          <w:rFonts w:ascii="Garamond" w:eastAsia="Times New Roman" w:hAnsi="Garamond"/>
          <w:sz w:val="24"/>
          <w:szCs w:val="24"/>
        </w:rPr>
      </w:pPr>
      <w:r>
        <w:rPr>
          <w:rFonts w:ascii="Garamond" w:eastAsia="Times New Roman" w:hAnsi="Garamond"/>
          <w:sz w:val="24"/>
          <w:szCs w:val="24"/>
        </w:rPr>
        <w:t>In its review, the</w:t>
      </w:r>
      <w:r w:rsidR="00FB5BB8" w:rsidRPr="00D27CF3">
        <w:rPr>
          <w:rFonts w:ascii="Garamond" w:eastAsia="Times New Roman" w:hAnsi="Garamond"/>
          <w:sz w:val="24"/>
          <w:szCs w:val="24"/>
        </w:rPr>
        <w:t xml:space="preserve"> Wildfire Safety Division </w:t>
      </w:r>
      <w:r>
        <w:rPr>
          <w:rFonts w:ascii="Garamond" w:eastAsia="Times New Roman" w:hAnsi="Garamond"/>
          <w:sz w:val="24"/>
          <w:szCs w:val="24"/>
        </w:rPr>
        <w:t xml:space="preserve">should </w:t>
      </w:r>
      <w:r w:rsidR="00FB5BB8" w:rsidRPr="00D27CF3">
        <w:rPr>
          <w:rFonts w:ascii="Garamond" w:eastAsia="Times New Roman" w:hAnsi="Garamond"/>
          <w:sz w:val="24"/>
          <w:szCs w:val="24"/>
        </w:rPr>
        <w:t xml:space="preserve">consider </w:t>
      </w:r>
      <w:r w:rsidR="00B80271" w:rsidRPr="00D27CF3">
        <w:rPr>
          <w:rFonts w:ascii="Garamond" w:eastAsia="Times New Roman" w:hAnsi="Garamond"/>
          <w:sz w:val="24"/>
          <w:szCs w:val="24"/>
        </w:rPr>
        <w:t xml:space="preserve">whether the utilities are </w:t>
      </w:r>
      <w:r w:rsidR="00721578" w:rsidRPr="00D27CF3">
        <w:rPr>
          <w:rFonts w:ascii="Garamond" w:eastAsia="Times New Roman" w:hAnsi="Garamond"/>
          <w:sz w:val="24"/>
          <w:szCs w:val="24"/>
        </w:rPr>
        <w:t xml:space="preserve">effectively </w:t>
      </w:r>
      <w:r w:rsidR="00E224AA" w:rsidRPr="00D27CF3">
        <w:rPr>
          <w:rFonts w:ascii="Garamond" w:eastAsia="Times New Roman" w:hAnsi="Garamond"/>
          <w:sz w:val="24"/>
          <w:szCs w:val="24"/>
        </w:rPr>
        <w:t>analyzing</w:t>
      </w:r>
      <w:r w:rsidR="00721578" w:rsidRPr="00D27CF3">
        <w:rPr>
          <w:rFonts w:ascii="Garamond" w:eastAsia="Times New Roman" w:hAnsi="Garamond"/>
          <w:sz w:val="24"/>
          <w:szCs w:val="24"/>
        </w:rPr>
        <w:t xml:space="preserve"> </w:t>
      </w:r>
      <w:r w:rsidR="00BE3BFA" w:rsidRPr="00D27CF3">
        <w:rPr>
          <w:rFonts w:ascii="Garamond" w:eastAsia="Times New Roman" w:hAnsi="Garamond"/>
          <w:sz w:val="24"/>
          <w:szCs w:val="24"/>
        </w:rPr>
        <w:t>near miss data</w:t>
      </w:r>
      <w:r w:rsidR="007F4222">
        <w:rPr>
          <w:rFonts w:ascii="Garamond" w:eastAsia="Times New Roman" w:hAnsi="Garamond"/>
          <w:sz w:val="24"/>
          <w:szCs w:val="24"/>
        </w:rPr>
        <w:t xml:space="preserve"> </w:t>
      </w:r>
      <w:r w:rsidR="00D138ED">
        <w:rPr>
          <w:rFonts w:ascii="Garamond" w:eastAsia="Times New Roman" w:hAnsi="Garamond"/>
          <w:sz w:val="24"/>
          <w:szCs w:val="24"/>
        </w:rPr>
        <w:t>during PSPS events</w:t>
      </w:r>
      <w:r w:rsidR="00B80271" w:rsidRPr="00D27CF3">
        <w:rPr>
          <w:rFonts w:ascii="Garamond" w:eastAsia="Times New Roman" w:hAnsi="Garamond"/>
          <w:sz w:val="24"/>
          <w:szCs w:val="24"/>
        </w:rPr>
        <w:t xml:space="preserve"> </w:t>
      </w:r>
      <w:r w:rsidR="002C53FB" w:rsidRPr="00D27CF3">
        <w:rPr>
          <w:rFonts w:ascii="Garamond" w:eastAsia="Times New Roman" w:hAnsi="Garamond"/>
          <w:sz w:val="24"/>
          <w:szCs w:val="24"/>
        </w:rPr>
        <w:t xml:space="preserve">to </w:t>
      </w:r>
      <w:r w:rsidR="00E224AA" w:rsidRPr="00D27CF3">
        <w:rPr>
          <w:rFonts w:ascii="Garamond" w:eastAsia="Times New Roman" w:hAnsi="Garamond"/>
          <w:sz w:val="24"/>
          <w:szCs w:val="24"/>
        </w:rPr>
        <w:t xml:space="preserve">determine the effectiveness of the vegetation </w:t>
      </w:r>
      <w:r w:rsidR="00E224AA" w:rsidRPr="00EA218F">
        <w:rPr>
          <w:rFonts w:ascii="Garamond" w:eastAsia="Times New Roman" w:hAnsi="Garamond"/>
          <w:sz w:val="24"/>
          <w:szCs w:val="24"/>
        </w:rPr>
        <w:t>management</w:t>
      </w:r>
      <w:r w:rsidR="000214A8" w:rsidRPr="00C115EF">
        <w:rPr>
          <w:rFonts w:ascii="Garamond" w:eastAsia="Times New Roman" w:hAnsi="Garamond"/>
          <w:sz w:val="24"/>
          <w:szCs w:val="24"/>
        </w:rPr>
        <w:t>,</w:t>
      </w:r>
      <w:r w:rsidR="00E224AA" w:rsidRPr="00C115EF">
        <w:rPr>
          <w:rFonts w:ascii="Garamond" w:eastAsia="Times New Roman" w:hAnsi="Garamond"/>
          <w:sz w:val="24"/>
          <w:szCs w:val="24"/>
        </w:rPr>
        <w:t xml:space="preserve"> grid hardening</w:t>
      </w:r>
      <w:r w:rsidR="00F5106B" w:rsidRPr="00EA218F">
        <w:rPr>
          <w:rFonts w:ascii="Garamond" w:eastAsia="Times New Roman" w:hAnsi="Garamond"/>
          <w:sz w:val="24"/>
          <w:szCs w:val="24"/>
        </w:rPr>
        <w:t xml:space="preserve">, as well as speed of restoration programs, in their </w:t>
      </w:r>
      <w:r w:rsidR="00E224AA" w:rsidRPr="00EA218F">
        <w:rPr>
          <w:rFonts w:ascii="Garamond" w:eastAsia="Times New Roman" w:hAnsi="Garamond"/>
          <w:sz w:val="24"/>
          <w:szCs w:val="24"/>
        </w:rPr>
        <w:t xml:space="preserve">wildfire mitigation activities and the effectiveness of each PSPS event. </w:t>
      </w:r>
      <w:r w:rsidR="00B80271" w:rsidRPr="00EA218F">
        <w:rPr>
          <w:rFonts w:ascii="Garamond" w:eastAsia="Times New Roman" w:hAnsi="Garamond"/>
          <w:sz w:val="24"/>
          <w:szCs w:val="24"/>
        </w:rPr>
        <w:t xml:space="preserve"> </w:t>
      </w:r>
    </w:p>
    <w:p w14:paraId="557983CE" w14:textId="77777777" w:rsidR="00BC25F2" w:rsidRPr="00D27CF3" w:rsidRDefault="00BC25F2" w:rsidP="00C115EF">
      <w:pPr>
        <w:spacing w:after="0"/>
        <w:rPr>
          <w:rFonts w:ascii="Garamond" w:eastAsia="Times New Roman" w:hAnsi="Garamond"/>
          <w:sz w:val="24"/>
          <w:szCs w:val="24"/>
        </w:rPr>
      </w:pPr>
    </w:p>
    <w:p w14:paraId="77274B23" w14:textId="6C549612" w:rsidR="00306973" w:rsidRPr="00D27CF3" w:rsidRDefault="00BC25F2" w:rsidP="00C115EF">
      <w:pPr>
        <w:rPr>
          <w:rFonts w:ascii="Century Gothic" w:eastAsia="Times New Roman" w:hAnsi="Century Gothic"/>
        </w:rPr>
      </w:pPr>
      <w:r w:rsidRPr="00D27CF3">
        <w:rPr>
          <w:rFonts w:ascii="Century Gothic" w:eastAsia="Times New Roman" w:hAnsi="Century Gothic"/>
        </w:rPr>
        <w:t>Observations</w:t>
      </w:r>
      <w:r w:rsidR="00306973" w:rsidRPr="00D27CF3">
        <w:rPr>
          <w:rFonts w:ascii="Century Gothic" w:eastAsia="Times New Roman" w:hAnsi="Century Gothic"/>
        </w:rPr>
        <w:t>:</w:t>
      </w:r>
    </w:p>
    <w:p w14:paraId="397A639E" w14:textId="77777777" w:rsidR="00306973" w:rsidRPr="00D27CF3" w:rsidRDefault="00306973"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 xml:space="preserve">In 2019, PSPS events were called in several geographic locations that had already received grid hardening and vegetation management measures.  In these locations, the utility should track whether incidents occurred that would have caused an outage had the PSPS event not been utilized (also known as “near misses”).  Tracking near misses as they relate to PSPS events could help identify additional measures that should be utilized to reduce the risk. </w:t>
      </w:r>
    </w:p>
    <w:p w14:paraId="274C7F70" w14:textId="1394D0CE" w:rsidR="00306973" w:rsidRPr="00D27CF3" w:rsidRDefault="00306973"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 xml:space="preserve">Gathering as much information as possible from each incident or near miss that occurs during a PSPS event </w:t>
      </w:r>
      <w:r w:rsidR="00196355" w:rsidRPr="00D27CF3">
        <w:rPr>
          <w:rFonts w:ascii="Garamond" w:eastAsia="Times New Roman" w:hAnsi="Garamond"/>
          <w:sz w:val="24"/>
          <w:szCs w:val="24"/>
        </w:rPr>
        <w:t>could</w:t>
      </w:r>
      <w:r w:rsidRPr="00D27CF3">
        <w:rPr>
          <w:rFonts w:ascii="Garamond" w:eastAsia="Times New Roman" w:hAnsi="Garamond"/>
          <w:sz w:val="24"/>
          <w:szCs w:val="24"/>
        </w:rPr>
        <w:t xml:space="preserve"> help </w:t>
      </w:r>
      <w:r w:rsidR="00E224AA" w:rsidRPr="00D27CF3">
        <w:rPr>
          <w:rFonts w:ascii="Garamond" w:eastAsia="Times New Roman" w:hAnsi="Garamond"/>
          <w:sz w:val="24"/>
          <w:szCs w:val="24"/>
        </w:rPr>
        <w:t xml:space="preserve">the Wildfire Safety Division, the CPUC, stakeholders and the Board </w:t>
      </w:r>
      <w:r w:rsidRPr="00D27CF3">
        <w:rPr>
          <w:rFonts w:ascii="Garamond" w:eastAsia="Times New Roman" w:hAnsi="Garamond"/>
          <w:sz w:val="24"/>
          <w:szCs w:val="24"/>
        </w:rPr>
        <w:t>understand how the application of mitigation measures reduce the need for PSPS events.</w:t>
      </w:r>
    </w:p>
    <w:p w14:paraId="3CC1B9C3" w14:textId="6BA89BDC" w:rsidR="00306973" w:rsidRPr="00D27CF3" w:rsidRDefault="00306973"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 xml:space="preserve">The information that </w:t>
      </w:r>
      <w:r w:rsidR="00E224AA" w:rsidRPr="00D27CF3">
        <w:rPr>
          <w:rFonts w:ascii="Garamond" w:eastAsia="Times New Roman" w:hAnsi="Garamond"/>
          <w:sz w:val="24"/>
          <w:szCs w:val="24"/>
        </w:rPr>
        <w:t xml:space="preserve">could </w:t>
      </w:r>
      <w:r w:rsidRPr="00D27CF3">
        <w:rPr>
          <w:rFonts w:ascii="Garamond" w:eastAsia="Times New Roman" w:hAnsi="Garamond"/>
          <w:sz w:val="24"/>
          <w:szCs w:val="24"/>
        </w:rPr>
        <w:t xml:space="preserve">be collected for each incident </w:t>
      </w:r>
      <w:r w:rsidR="00E224AA" w:rsidRPr="00D27CF3">
        <w:rPr>
          <w:rFonts w:ascii="Garamond" w:eastAsia="Times New Roman" w:hAnsi="Garamond"/>
          <w:sz w:val="24"/>
          <w:szCs w:val="24"/>
        </w:rPr>
        <w:t>or near miss</w:t>
      </w:r>
      <w:r w:rsidRPr="00D27CF3">
        <w:rPr>
          <w:rFonts w:ascii="Garamond" w:eastAsia="Times New Roman" w:hAnsi="Garamond"/>
          <w:sz w:val="24"/>
          <w:szCs w:val="24"/>
        </w:rPr>
        <w:t xml:space="preserve"> that occurs during a PSPS event includes: </w:t>
      </w:r>
    </w:p>
    <w:p w14:paraId="6F005204" w14:textId="77777777" w:rsidR="00306973" w:rsidRPr="00D27CF3" w:rsidRDefault="00306973" w:rsidP="00C115EF">
      <w:pPr>
        <w:pStyle w:val="ListParagraph"/>
        <w:numPr>
          <w:ilvl w:val="1"/>
          <w:numId w:val="22"/>
        </w:numPr>
        <w:spacing w:after="0"/>
        <w:ind w:left="1080"/>
        <w:contextualSpacing w:val="0"/>
        <w:rPr>
          <w:rFonts w:ascii="Garamond" w:eastAsia="Times New Roman" w:hAnsi="Garamond"/>
          <w:sz w:val="24"/>
          <w:szCs w:val="24"/>
        </w:rPr>
      </w:pPr>
      <w:r w:rsidRPr="00D27CF3">
        <w:rPr>
          <w:rFonts w:ascii="Garamond" w:eastAsia="Times New Roman" w:hAnsi="Garamond"/>
          <w:sz w:val="24"/>
          <w:szCs w:val="24"/>
        </w:rPr>
        <w:t xml:space="preserve">weather conditions such as estimated wind speed; </w:t>
      </w:r>
    </w:p>
    <w:p w14:paraId="7A575E08" w14:textId="77777777" w:rsidR="00306973" w:rsidRPr="00D27CF3" w:rsidRDefault="00306973" w:rsidP="00C115EF">
      <w:pPr>
        <w:pStyle w:val="ListParagraph"/>
        <w:numPr>
          <w:ilvl w:val="1"/>
          <w:numId w:val="22"/>
        </w:numPr>
        <w:spacing w:after="0"/>
        <w:ind w:left="1080"/>
        <w:contextualSpacing w:val="0"/>
        <w:rPr>
          <w:rFonts w:ascii="Garamond" w:eastAsia="Times New Roman" w:hAnsi="Garamond"/>
          <w:sz w:val="24"/>
          <w:szCs w:val="24"/>
        </w:rPr>
      </w:pPr>
      <w:r w:rsidRPr="00D27CF3">
        <w:rPr>
          <w:rFonts w:ascii="Garamond" w:eastAsia="Times New Roman" w:hAnsi="Garamond"/>
          <w:sz w:val="24"/>
          <w:szCs w:val="24"/>
        </w:rPr>
        <w:t>damage found; and</w:t>
      </w:r>
    </w:p>
    <w:p w14:paraId="04BF5F68" w14:textId="77777777" w:rsidR="00306973" w:rsidRPr="00D27CF3" w:rsidRDefault="00306973" w:rsidP="00C115EF">
      <w:pPr>
        <w:pStyle w:val="ListParagraph"/>
        <w:numPr>
          <w:ilvl w:val="1"/>
          <w:numId w:val="22"/>
        </w:numPr>
        <w:ind w:left="1080"/>
        <w:contextualSpacing w:val="0"/>
        <w:rPr>
          <w:rFonts w:ascii="Garamond" w:eastAsia="Times New Roman" w:hAnsi="Garamond"/>
          <w:sz w:val="24"/>
          <w:szCs w:val="24"/>
        </w:rPr>
      </w:pPr>
      <w:r w:rsidRPr="00D27CF3">
        <w:rPr>
          <w:rFonts w:ascii="Garamond" w:eastAsia="Times New Roman" w:hAnsi="Garamond"/>
          <w:sz w:val="24"/>
          <w:szCs w:val="24"/>
        </w:rPr>
        <w:t xml:space="preserve">cause of the damage while the line was de-energized. </w:t>
      </w:r>
    </w:p>
    <w:p w14:paraId="026512CD" w14:textId="2738CB42" w:rsidR="00E224AA" w:rsidRPr="00D27CF3" w:rsidRDefault="00306973" w:rsidP="00C115EF">
      <w:pPr>
        <w:spacing w:after="0"/>
        <w:ind w:left="360"/>
        <w:rPr>
          <w:rFonts w:ascii="Garamond" w:eastAsia="Times New Roman" w:hAnsi="Garamond"/>
          <w:sz w:val="24"/>
          <w:szCs w:val="24"/>
        </w:rPr>
      </w:pPr>
      <w:r w:rsidRPr="00D27CF3">
        <w:rPr>
          <w:rFonts w:ascii="Garamond" w:eastAsia="Times New Roman" w:hAnsi="Garamond"/>
          <w:sz w:val="24"/>
          <w:szCs w:val="24"/>
        </w:rPr>
        <w:t xml:space="preserve">Tracking and providing this information </w:t>
      </w:r>
      <w:r w:rsidR="00E224AA" w:rsidRPr="00D27CF3">
        <w:rPr>
          <w:rFonts w:ascii="Garamond" w:eastAsia="Times New Roman" w:hAnsi="Garamond"/>
          <w:sz w:val="24"/>
          <w:szCs w:val="24"/>
        </w:rPr>
        <w:t xml:space="preserve">could </w:t>
      </w:r>
      <w:r w:rsidRPr="00D27CF3">
        <w:rPr>
          <w:rFonts w:ascii="Garamond" w:eastAsia="Times New Roman" w:hAnsi="Garamond"/>
          <w:sz w:val="24"/>
          <w:szCs w:val="24"/>
        </w:rPr>
        <w:t xml:space="preserve">aid in the effectiveness of the current and future grid hardening and enhanced vegetation plans by helping to determine threshold factors to consider when deciding to initiate a future a PSPS event. </w:t>
      </w:r>
    </w:p>
    <w:p w14:paraId="0BDCCE8C" w14:textId="7B3CE9EE" w:rsidR="00306973" w:rsidRPr="00D27CF3" w:rsidRDefault="00306973" w:rsidP="00C115EF">
      <w:pPr>
        <w:pStyle w:val="ListParagraph"/>
        <w:spacing w:after="0"/>
        <w:contextualSpacing w:val="0"/>
        <w:rPr>
          <w:rFonts w:ascii="Garamond" w:eastAsia="Times New Roman" w:hAnsi="Garamond"/>
          <w:sz w:val="24"/>
          <w:szCs w:val="24"/>
        </w:rPr>
      </w:pPr>
    </w:p>
    <w:p w14:paraId="30EC9412" w14:textId="77777777" w:rsidR="00306973" w:rsidRPr="00D27CF3" w:rsidRDefault="00306973" w:rsidP="00C115EF">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490D3945" w14:textId="436AB667" w:rsidR="004E20F0" w:rsidRPr="004E20F0" w:rsidRDefault="00306973" w:rsidP="00C115EF">
      <w:pPr>
        <w:pStyle w:val="ListParagraph"/>
        <w:numPr>
          <w:ilvl w:val="0"/>
          <w:numId w:val="34"/>
        </w:numPr>
        <w:contextualSpacing w:val="0"/>
      </w:pPr>
      <w:r w:rsidRPr="00D27CF3">
        <w:rPr>
          <w:rFonts w:ascii="Garamond" w:eastAsia="Times New Roman" w:hAnsi="Garamond"/>
          <w:sz w:val="24"/>
          <w:szCs w:val="24"/>
        </w:rPr>
        <w:t xml:space="preserve">Each utility </w:t>
      </w:r>
      <w:r w:rsidR="00A3433D">
        <w:rPr>
          <w:rFonts w:ascii="Garamond" w:eastAsia="Times New Roman" w:hAnsi="Garamond"/>
          <w:sz w:val="24"/>
          <w:szCs w:val="24"/>
        </w:rPr>
        <w:t>should</w:t>
      </w:r>
      <w:r w:rsidR="00A3433D" w:rsidRPr="00D27CF3">
        <w:rPr>
          <w:rFonts w:ascii="Garamond" w:eastAsia="Times New Roman" w:hAnsi="Garamond"/>
          <w:sz w:val="24"/>
          <w:szCs w:val="24"/>
        </w:rPr>
        <w:t xml:space="preserve"> </w:t>
      </w:r>
      <w:r w:rsidRPr="00D27CF3">
        <w:rPr>
          <w:rFonts w:ascii="Garamond" w:eastAsia="Times New Roman" w:hAnsi="Garamond"/>
          <w:sz w:val="24"/>
          <w:szCs w:val="24"/>
        </w:rPr>
        <w:t>investigate, identify and catalog all damage that has occurred to their system during a PSPS event and cross reference the location against where the utility’s hardening and enhanced vegetation measures were completed.</w:t>
      </w:r>
      <w:r>
        <w:br w:type="page"/>
      </w:r>
    </w:p>
    <w:p w14:paraId="2260D9AE" w14:textId="064EA027" w:rsidR="003325D0" w:rsidRPr="00D27CF3" w:rsidRDefault="000E488A" w:rsidP="00855C71">
      <w:pPr>
        <w:pStyle w:val="Heading1"/>
      </w:pPr>
      <w:bookmarkStart w:id="13" w:name="_Toc36750067"/>
      <w:bookmarkStart w:id="14" w:name="_Toc36319418"/>
      <w:r>
        <w:t>7</w:t>
      </w:r>
      <w:r w:rsidR="003325D0" w:rsidRPr="00D27CF3">
        <w:t xml:space="preserve">. </w:t>
      </w:r>
      <w:r w:rsidR="004D1893" w:rsidRPr="00D27CF3">
        <w:t>Training Programs and Qualif</w:t>
      </w:r>
      <w:r w:rsidR="00CD541A">
        <w:t>ied Electrical Workers</w:t>
      </w:r>
      <w:bookmarkEnd w:id="13"/>
      <w:r w:rsidR="00D52FB9">
        <w:t xml:space="preserve">  </w:t>
      </w:r>
    </w:p>
    <w:p w14:paraId="297F9C45" w14:textId="77777777" w:rsidR="003325D0" w:rsidRPr="003325D0" w:rsidRDefault="003325D0" w:rsidP="00855C71">
      <w:pPr>
        <w:spacing w:after="0"/>
        <w:rPr>
          <w:sz w:val="8"/>
          <w:szCs w:val="8"/>
        </w:rPr>
      </w:pP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306973" w:rsidRPr="007C7BDA" w14:paraId="46713FAE" w14:textId="77777777" w:rsidTr="003325D0">
        <w:trPr>
          <w:trHeight w:val="436"/>
          <w:jc w:val="center"/>
        </w:trPr>
        <w:tc>
          <w:tcPr>
            <w:tcW w:w="6480" w:type="dxa"/>
            <w:gridSpan w:val="2"/>
            <w:tcBorders>
              <w:bottom w:val="single" w:sz="12" w:space="0" w:color="8496B0" w:themeColor="text2" w:themeTint="99"/>
            </w:tcBorders>
            <w:shd w:val="clear" w:color="auto" w:fill="D9E2F3" w:themeFill="accent1" w:themeFillTint="33"/>
          </w:tcPr>
          <w:bookmarkEnd w:id="14"/>
          <w:p w14:paraId="0D51F709" w14:textId="77777777" w:rsidR="00306973" w:rsidRPr="007C7BDA" w:rsidRDefault="00306973" w:rsidP="00C115EF">
            <w:pPr>
              <w:spacing w:before="60"/>
              <w:ind w:left="432"/>
              <w:rPr>
                <w:rFonts w:ascii="Garamond" w:hAnsi="Garamond"/>
              </w:rPr>
            </w:pPr>
            <w:r w:rsidRPr="007C7BDA">
              <w:rPr>
                <w:b/>
                <w:bCs/>
                <w:noProof/>
              </w:rPr>
              <w:drawing>
                <wp:anchor distT="0" distB="0" distL="114300" distR="114300" simplePos="0" relativeHeight="251658255" behindDoc="0" locked="0" layoutInCell="1" allowOverlap="0" wp14:anchorId="6937CAFE" wp14:editId="1C735A6D">
                  <wp:simplePos x="0" y="0"/>
                  <wp:positionH relativeFrom="leftMargin">
                    <wp:posOffset>59690</wp:posOffset>
                  </wp:positionH>
                  <wp:positionV relativeFrom="paragraph">
                    <wp:posOffset>5927</wp:posOffset>
                  </wp:positionV>
                  <wp:extent cx="246888" cy="246888"/>
                  <wp:effectExtent l="0" t="0" r="1270" b="1270"/>
                  <wp:wrapNone/>
                  <wp:docPr id="42" name="Graphic 42"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447239240"/>
                <w14:checkbox>
                  <w14:checked w14:val="1"/>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470871814"/>
                <w14:checkbox>
                  <w14:checked w14:val="0"/>
                  <w14:checkedState w14:val="2612" w14:font="MS Gothic"/>
                  <w14:uncheckedState w14:val="2610" w14:font="MS Gothic"/>
                </w14:checkbox>
              </w:sdtPr>
              <w:sdtEndPr/>
              <w:sdtContent>
                <w:r w:rsidRPr="007C7BDA">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515351176"/>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1877301383"/>
                <w14:checkbox>
                  <w14:checked w14:val="1"/>
                  <w14:checkedState w14:val="2612" w14:font="MS Gothic"/>
                  <w14:uncheckedState w14:val="2610" w14:font="MS Gothic"/>
                </w14:checkbox>
              </w:sdtPr>
              <w:sdtEndPr/>
              <w:sdtContent>
                <w:r w:rsidRPr="00D27CF3">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1C7EC5A6" w14:textId="68820133" w:rsidR="00306973" w:rsidRPr="007C7BDA" w:rsidRDefault="00306973" w:rsidP="00C115EF">
            <w:pPr>
              <w:spacing w:before="60"/>
              <w:ind w:left="-15"/>
              <w:rPr>
                <w:rFonts w:ascii="Garamond" w:hAnsi="Garamond"/>
              </w:rPr>
            </w:pPr>
            <w:r>
              <w:rPr>
                <w:rFonts w:ascii="Garamond" w:hAnsi="Garamond"/>
                <w:noProof/>
              </w:rPr>
              <w:drawing>
                <wp:anchor distT="0" distB="0" distL="114300" distR="114300" simplePos="0" relativeHeight="251658256" behindDoc="0" locked="0" layoutInCell="1" allowOverlap="1" wp14:anchorId="1060CD82" wp14:editId="6CB8B9C2">
                  <wp:simplePos x="0" y="0"/>
                  <wp:positionH relativeFrom="column">
                    <wp:posOffset>-28575</wp:posOffset>
                  </wp:positionH>
                  <wp:positionV relativeFrom="paragraph">
                    <wp:posOffset>-20320</wp:posOffset>
                  </wp:positionV>
                  <wp:extent cx="295275" cy="295275"/>
                  <wp:effectExtent l="0" t="0" r="0" b="0"/>
                  <wp:wrapNone/>
                  <wp:docPr id="43" name="Graphic 43"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0E488A">
              <w:rPr>
                <w:rFonts w:ascii="Garamond" w:hAnsi="Garamond"/>
              </w:rPr>
              <w:t>7</w:t>
            </w:r>
          </w:p>
        </w:tc>
      </w:tr>
      <w:tr w:rsidR="00306973" w14:paraId="2AC894A8" w14:textId="77777777" w:rsidTr="003325D0">
        <w:trPr>
          <w:trHeight w:val="79"/>
          <w:jc w:val="center"/>
        </w:trPr>
        <w:tc>
          <w:tcPr>
            <w:tcW w:w="9630" w:type="dxa"/>
            <w:gridSpan w:val="3"/>
            <w:tcBorders>
              <w:left w:val="nil"/>
              <w:bottom w:val="single" w:sz="12" w:space="0" w:color="8496B0" w:themeColor="text2" w:themeTint="99"/>
              <w:right w:val="nil"/>
            </w:tcBorders>
          </w:tcPr>
          <w:p w14:paraId="01A4CFE7" w14:textId="77777777" w:rsidR="00306973" w:rsidRPr="00D27CF3" w:rsidRDefault="00306973" w:rsidP="00855C71">
            <w:pPr>
              <w:rPr>
                <w:rFonts w:eastAsia="Times New Roman" w:cstheme="minorHAnsi"/>
                <w:sz w:val="8"/>
                <w:szCs w:val="8"/>
              </w:rPr>
            </w:pPr>
          </w:p>
        </w:tc>
      </w:tr>
      <w:tr w:rsidR="00306973" w14:paraId="310DDEF4" w14:textId="77777777" w:rsidTr="003325D0">
        <w:trPr>
          <w:trHeight w:val="285"/>
          <w:jc w:val="center"/>
        </w:trPr>
        <w:tc>
          <w:tcPr>
            <w:tcW w:w="9630" w:type="dxa"/>
            <w:gridSpan w:val="3"/>
            <w:tcBorders>
              <w:bottom w:val="nil"/>
            </w:tcBorders>
            <w:shd w:val="clear" w:color="auto" w:fill="D9E2F3" w:themeFill="accent1" w:themeFillTint="33"/>
          </w:tcPr>
          <w:p w14:paraId="6BFBAC4C" w14:textId="77777777" w:rsidR="00306973" w:rsidRPr="00D27CF3" w:rsidRDefault="00306973"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306973" w14:paraId="5FDB633C" w14:textId="77777777" w:rsidTr="003325D0">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7C2EF1C1"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877819815"/>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p w14:paraId="2FFD8561"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603640757"/>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2BF2B547" w14:textId="77777777" w:rsidR="00306973" w:rsidRPr="00D27CF3" w:rsidRDefault="00306973"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192132DF"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944050981"/>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 incl. Risk Spend Efficiency</w:t>
            </w:r>
          </w:p>
          <w:p w14:paraId="29A952D4" w14:textId="77777777" w:rsidR="00306973"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1357492904"/>
                <w14:checkbox>
                  <w14:checked w14:val="0"/>
                  <w14:checkedState w14:val="2612" w14:font="MS Gothic"/>
                  <w14:uncheckedState w14:val="2610" w14:font="MS Gothic"/>
                </w14:checkbox>
              </w:sdtPr>
              <w:sdtEndPr/>
              <w:sdtContent>
                <w:r w:rsidR="00306973" w:rsidRPr="00D27CF3">
                  <w:rPr>
                    <w:rFonts w:ascii="MS Gothic" w:eastAsia="MS Gothic" w:hAnsi="MS Gothic" w:cs="Segoe UI Symbol" w:hint="eastAsia"/>
                    <w:sz w:val="20"/>
                    <w:szCs w:val="20"/>
                  </w:rPr>
                  <w:t>☐</w:t>
                </w:r>
              </w:sdtContent>
            </w:sdt>
            <w:r w:rsidR="00306973" w:rsidRPr="00D27CF3">
              <w:rPr>
                <w:rFonts w:ascii="Garamond" w:eastAsia="Times New Roman" w:hAnsi="Garamond"/>
                <w:sz w:val="20"/>
                <w:szCs w:val="20"/>
              </w:rPr>
              <w:t xml:space="preserve"> Communication with the community, planning, preparedness and recovery after PSPS events</w:t>
            </w:r>
          </w:p>
        </w:tc>
      </w:tr>
      <w:tr w:rsidR="00306973" w14:paraId="49478A06" w14:textId="77777777" w:rsidTr="003325D0">
        <w:trPr>
          <w:trHeight w:val="43"/>
          <w:jc w:val="center"/>
        </w:trPr>
        <w:tc>
          <w:tcPr>
            <w:tcW w:w="9630" w:type="dxa"/>
            <w:gridSpan w:val="3"/>
            <w:tcBorders>
              <w:left w:val="nil"/>
              <w:bottom w:val="single" w:sz="12" w:space="0" w:color="8496B0" w:themeColor="text2" w:themeTint="99"/>
              <w:right w:val="nil"/>
            </w:tcBorders>
          </w:tcPr>
          <w:p w14:paraId="7E7AD4ED" w14:textId="77777777" w:rsidR="00306973" w:rsidRPr="00D27CF3" w:rsidRDefault="00306973" w:rsidP="00855C71">
            <w:pPr>
              <w:spacing w:line="276" w:lineRule="auto"/>
              <w:rPr>
                <w:rFonts w:eastAsia="Times New Roman" w:cstheme="minorHAnsi"/>
                <w:sz w:val="8"/>
                <w:szCs w:val="8"/>
              </w:rPr>
            </w:pPr>
          </w:p>
        </w:tc>
      </w:tr>
      <w:tr w:rsidR="00306973" w14:paraId="496BAD8F" w14:textId="77777777" w:rsidTr="003325D0">
        <w:trPr>
          <w:trHeight w:val="43"/>
          <w:jc w:val="center"/>
        </w:trPr>
        <w:tc>
          <w:tcPr>
            <w:tcW w:w="9630" w:type="dxa"/>
            <w:gridSpan w:val="3"/>
            <w:tcBorders>
              <w:bottom w:val="nil"/>
            </w:tcBorders>
            <w:shd w:val="clear" w:color="auto" w:fill="D9E2F3" w:themeFill="accent1" w:themeFillTint="33"/>
          </w:tcPr>
          <w:p w14:paraId="5886E0D2" w14:textId="77777777" w:rsidR="00306973" w:rsidRPr="007C7BDA" w:rsidRDefault="00306973"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306973" w14:paraId="3571D514" w14:textId="77777777" w:rsidTr="003325D0">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42EE158D"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854228575"/>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Risk assessment and mapping</w:t>
            </w:r>
          </w:p>
          <w:p w14:paraId="42BD8A74"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995185596"/>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Situational awareness and forecasting</w:t>
            </w:r>
          </w:p>
          <w:p w14:paraId="7C7561DF"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552510886"/>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3E38B122"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139604048"/>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Asset management and inspections</w:t>
            </w:r>
          </w:p>
          <w:p w14:paraId="1FF0286A"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833114109"/>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5B4B33C9"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38891914"/>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operations and protocols</w:t>
            </w:r>
          </w:p>
          <w:p w14:paraId="6F0E9895"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87680097"/>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Data governance</w:t>
            </w:r>
          </w:p>
          <w:p w14:paraId="1E0081EB"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704844375"/>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w:t>
            </w:r>
          </w:p>
          <w:p w14:paraId="1484DC88"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325676483"/>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Emergency planning and preparedness</w:t>
            </w:r>
          </w:p>
          <w:p w14:paraId="480CFDCF" w14:textId="77777777" w:rsidR="00306973" w:rsidRPr="009D23C5" w:rsidRDefault="00E20D41" w:rsidP="00C115EF">
            <w:pPr>
              <w:spacing w:before="60" w:line="276" w:lineRule="auto"/>
              <w:ind w:left="360"/>
              <w:rPr>
                <w:rFonts w:ascii="Garamond" w:hAnsi="Garamond"/>
                <w:b/>
                <w:bCs/>
                <w:sz w:val="20"/>
                <w:szCs w:val="20"/>
              </w:rPr>
            </w:pPr>
            <w:sdt>
              <w:sdtPr>
                <w:rPr>
                  <w:rFonts w:ascii="Garamond" w:eastAsia="Times New Roman" w:hAnsi="Garamond"/>
                  <w:sz w:val="20"/>
                  <w:szCs w:val="20"/>
                </w:rPr>
                <w:id w:val="2081084542"/>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Stakeholder cooperation and community engagement</w:t>
            </w:r>
          </w:p>
        </w:tc>
      </w:tr>
      <w:tr w:rsidR="00306973" w14:paraId="322BF7B4" w14:textId="77777777" w:rsidTr="003325D0">
        <w:trPr>
          <w:trHeight w:val="51"/>
          <w:jc w:val="center"/>
        </w:trPr>
        <w:tc>
          <w:tcPr>
            <w:tcW w:w="9630" w:type="dxa"/>
            <w:gridSpan w:val="3"/>
            <w:tcBorders>
              <w:left w:val="nil"/>
              <w:right w:val="nil"/>
            </w:tcBorders>
          </w:tcPr>
          <w:p w14:paraId="6B0822CD" w14:textId="77777777" w:rsidR="00306973" w:rsidRPr="007D218D" w:rsidRDefault="00306973" w:rsidP="00855C71">
            <w:pPr>
              <w:rPr>
                <w:rFonts w:cstheme="minorHAnsi"/>
                <w:sz w:val="8"/>
                <w:szCs w:val="8"/>
              </w:rPr>
            </w:pPr>
          </w:p>
        </w:tc>
      </w:tr>
      <w:tr w:rsidR="00306973" w14:paraId="0149E6F1" w14:textId="77777777" w:rsidTr="003325D0">
        <w:trPr>
          <w:trHeight w:val="489"/>
          <w:jc w:val="center"/>
        </w:trPr>
        <w:tc>
          <w:tcPr>
            <w:tcW w:w="9630" w:type="dxa"/>
            <w:gridSpan w:val="3"/>
            <w:shd w:val="clear" w:color="auto" w:fill="D9E2F3" w:themeFill="accent1" w:themeFillTint="33"/>
          </w:tcPr>
          <w:p w14:paraId="5BCA7726" w14:textId="77777777" w:rsidR="00306973" w:rsidRPr="00D95954" w:rsidRDefault="00306973"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54" behindDoc="0" locked="0" layoutInCell="1" allowOverlap="1" wp14:anchorId="05BB36E6" wp14:editId="7A35CCEC">
                  <wp:simplePos x="0" y="0"/>
                  <wp:positionH relativeFrom="leftMargin">
                    <wp:posOffset>59690</wp:posOffset>
                  </wp:positionH>
                  <wp:positionV relativeFrom="paragraph">
                    <wp:posOffset>37677</wp:posOffset>
                  </wp:positionV>
                  <wp:extent cx="245534" cy="194627"/>
                  <wp:effectExtent l="0" t="0" r="0" b="0"/>
                  <wp:wrapNone/>
                  <wp:docPr id="44" name="Graphic 44"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1270975258"/>
                <w14:checkbox>
                  <w14:checked w14:val="0"/>
                  <w14:checkedState w14:val="2612" w14:font="MS Gothic"/>
                  <w14:uncheckedState w14:val="2610" w14:font="MS Gothic"/>
                </w14:checkbox>
              </w:sdtPr>
              <w:sdtEndPr/>
              <w:sdtContent>
                <w:r w:rsidRPr="00BF7E3D">
                  <w:rPr>
                    <w:rFonts w:ascii="Segoe UI Symbol" w:hAnsi="Segoe UI Symbol" w:cs="Segoe UI Symbol"/>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8548115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578178100"/>
                <w14:checkbox>
                  <w14:checked w14:val="0"/>
                  <w14:checkedState w14:val="2612" w14:font="MS Gothic"/>
                  <w14:uncheckedState w14:val="2610" w14:font="MS Gothic"/>
                </w14:checkbox>
              </w:sdtPr>
              <w:sdtEndPr/>
              <w:sdtContent>
                <w:r w:rsidRPr="00BF7E3D">
                  <w:rPr>
                    <w:rFonts w:ascii="Segoe UI Symbol" w:hAnsi="Segoe UI Symbol" w:cs="Segoe UI Symbol"/>
                  </w:rPr>
                  <w:t>☐</w:t>
                </w:r>
              </w:sdtContent>
            </w:sdt>
            <w:r w:rsidRPr="006705ED">
              <w:rPr>
                <w:rFonts w:ascii="Garamond" w:hAnsi="Garamond"/>
              </w:rPr>
              <w:t xml:space="preserve"> Mid Term </w:t>
            </w:r>
            <w:r>
              <w:rPr>
                <w:rFonts w:ascii="Garamond" w:hAnsi="Garamond"/>
              </w:rPr>
              <w:t xml:space="preserve">    </w:t>
            </w:r>
            <w:sdt>
              <w:sdtPr>
                <w:rPr>
                  <w:rFonts w:ascii="Garamond" w:hAnsi="Garamond"/>
                </w:rPr>
                <w:id w:val="-1331593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tbl>
    <w:p w14:paraId="0B2D61E1" w14:textId="77777777" w:rsidR="00306973" w:rsidRPr="004A0FBC" w:rsidRDefault="00306973" w:rsidP="00855C71">
      <w:pPr>
        <w:spacing w:after="0"/>
        <w:rPr>
          <w:rFonts w:ascii="Garamond" w:hAnsi="Garamond"/>
          <w:b/>
          <w:bCs/>
          <w:sz w:val="24"/>
          <w:szCs w:val="24"/>
        </w:rPr>
      </w:pPr>
    </w:p>
    <w:p w14:paraId="67109C4D" w14:textId="77777777" w:rsidR="00306973" w:rsidRDefault="00306973" w:rsidP="00855C71">
      <w:pPr>
        <w:rPr>
          <w:rFonts w:ascii="Century Gothic" w:hAnsi="Century Gothic"/>
        </w:rPr>
      </w:pPr>
      <w:r>
        <w:rPr>
          <w:rFonts w:ascii="Century Gothic" w:hAnsi="Century Gothic"/>
        </w:rPr>
        <w:t>Issue/Metric:</w:t>
      </w:r>
    </w:p>
    <w:p w14:paraId="034917B8" w14:textId="5D948A9F" w:rsidR="00306973" w:rsidRPr="00D27CF3" w:rsidRDefault="00326D43" w:rsidP="00C115EF">
      <w:pPr>
        <w:pStyle w:val="ListParagraph"/>
        <w:numPr>
          <w:ilvl w:val="0"/>
          <w:numId w:val="11"/>
        </w:numPr>
        <w:spacing w:after="0"/>
        <w:ind w:left="360"/>
        <w:contextualSpacing w:val="0"/>
        <w:rPr>
          <w:rFonts w:ascii="Garamond" w:eastAsia="Times New Roman" w:hAnsi="Garamond"/>
          <w:sz w:val="24"/>
          <w:szCs w:val="24"/>
        </w:rPr>
      </w:pPr>
      <w:r w:rsidRPr="00D27CF3">
        <w:rPr>
          <w:rFonts w:ascii="Garamond" w:eastAsia="Times New Roman" w:hAnsi="Garamond"/>
          <w:sz w:val="24"/>
          <w:szCs w:val="24"/>
        </w:rPr>
        <w:t xml:space="preserve">The qualifications of </w:t>
      </w:r>
      <w:r w:rsidR="00E36905" w:rsidRPr="00D27CF3">
        <w:rPr>
          <w:rFonts w:ascii="Garamond" w:eastAsia="Times New Roman" w:hAnsi="Garamond"/>
          <w:sz w:val="24"/>
          <w:szCs w:val="24"/>
        </w:rPr>
        <w:t xml:space="preserve">electrical workers performing </w:t>
      </w:r>
      <w:r w:rsidR="00385C89" w:rsidRPr="00D27CF3">
        <w:rPr>
          <w:rFonts w:ascii="Garamond" w:eastAsia="Times New Roman" w:hAnsi="Garamond"/>
          <w:sz w:val="24"/>
          <w:szCs w:val="24"/>
        </w:rPr>
        <w:t>e</w:t>
      </w:r>
      <w:r w:rsidR="00306973" w:rsidRPr="00D27CF3">
        <w:rPr>
          <w:rFonts w:ascii="Garamond" w:eastAsia="Times New Roman" w:hAnsi="Garamond"/>
          <w:sz w:val="24"/>
          <w:szCs w:val="24"/>
        </w:rPr>
        <w:t>lectrical asset inspections within HFTD</w:t>
      </w:r>
      <w:r w:rsidR="00532BAA">
        <w:rPr>
          <w:rFonts w:ascii="Garamond" w:eastAsia="Times New Roman" w:hAnsi="Garamond"/>
          <w:sz w:val="24"/>
          <w:szCs w:val="24"/>
        </w:rPr>
        <w:t>s</w:t>
      </w:r>
      <w:r w:rsidR="00E36905" w:rsidRPr="00D27CF3">
        <w:rPr>
          <w:rFonts w:ascii="Garamond" w:eastAsia="Times New Roman" w:hAnsi="Garamond"/>
          <w:sz w:val="24"/>
          <w:szCs w:val="24"/>
        </w:rPr>
        <w:t xml:space="preserve">; </w:t>
      </w:r>
      <w:r w:rsidR="00532BAA">
        <w:rPr>
          <w:rFonts w:ascii="Garamond" w:eastAsia="Times New Roman" w:hAnsi="Garamond"/>
          <w:sz w:val="24"/>
          <w:szCs w:val="24"/>
        </w:rPr>
        <w:t>T</w:t>
      </w:r>
      <w:r w:rsidR="00B3225E" w:rsidRPr="00D27CF3">
        <w:rPr>
          <w:rFonts w:ascii="Garamond" w:eastAsia="Times New Roman" w:hAnsi="Garamond"/>
          <w:sz w:val="24"/>
          <w:szCs w:val="24"/>
        </w:rPr>
        <w:t xml:space="preserve">raining programs </w:t>
      </w:r>
      <w:r w:rsidR="00570CF3" w:rsidRPr="00D27CF3">
        <w:rPr>
          <w:rFonts w:ascii="Garamond" w:eastAsia="Times New Roman" w:hAnsi="Garamond"/>
          <w:sz w:val="24"/>
          <w:szCs w:val="24"/>
        </w:rPr>
        <w:t>that</w:t>
      </w:r>
      <w:r w:rsidR="00B3225E" w:rsidRPr="00D27CF3">
        <w:rPr>
          <w:rFonts w:ascii="Garamond" w:eastAsia="Times New Roman" w:hAnsi="Garamond"/>
          <w:sz w:val="24"/>
          <w:szCs w:val="24"/>
        </w:rPr>
        <w:t xml:space="preserve"> increase the pool of qualified workers. </w:t>
      </w:r>
    </w:p>
    <w:p w14:paraId="261FB2A1" w14:textId="77777777" w:rsidR="00306973" w:rsidRPr="00F639A5" w:rsidRDefault="00306973" w:rsidP="00855C71">
      <w:pPr>
        <w:spacing w:after="0"/>
        <w:rPr>
          <w:rFonts w:ascii="Garamond" w:hAnsi="Garamond"/>
          <w:sz w:val="24"/>
          <w:szCs w:val="24"/>
        </w:rPr>
      </w:pPr>
    </w:p>
    <w:p w14:paraId="29149A97" w14:textId="77777777" w:rsidR="00306973" w:rsidRDefault="00306973" w:rsidP="00855C71">
      <w:pPr>
        <w:rPr>
          <w:rFonts w:ascii="Century Gothic" w:hAnsi="Century Gothic"/>
        </w:rPr>
      </w:pPr>
      <w:r>
        <w:rPr>
          <w:rFonts w:ascii="Century Gothic" w:hAnsi="Century Gothic"/>
        </w:rPr>
        <w:t>Current WMP Requirement:</w:t>
      </w:r>
    </w:p>
    <w:p w14:paraId="10E7DE01" w14:textId="77777777" w:rsidR="00EC5AD3" w:rsidRDefault="00306973" w:rsidP="001B0090">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Section 5.3.4. of the WMP Guidelines requires utilities to create an accurate depiction of all assets and conditions within the HFTD in their territory.</w:t>
      </w:r>
    </w:p>
    <w:p w14:paraId="167B6401" w14:textId="5750456D" w:rsidR="00306973" w:rsidRPr="00D27CF3" w:rsidRDefault="00EC0DF4" w:rsidP="00C115EF">
      <w:pPr>
        <w:pStyle w:val="ListParagraph"/>
        <w:numPr>
          <w:ilvl w:val="0"/>
          <w:numId w:val="11"/>
        </w:numPr>
        <w:spacing w:after="0"/>
        <w:ind w:left="360"/>
        <w:contextualSpacing w:val="0"/>
        <w:rPr>
          <w:rFonts w:ascii="Garamond" w:eastAsia="Times New Roman" w:hAnsi="Garamond"/>
          <w:sz w:val="24"/>
          <w:szCs w:val="24"/>
        </w:rPr>
      </w:pPr>
      <w:r>
        <w:rPr>
          <w:rFonts w:ascii="Garamond" w:eastAsia="Times New Roman" w:hAnsi="Garamond"/>
          <w:sz w:val="24"/>
          <w:szCs w:val="24"/>
        </w:rPr>
        <w:t xml:space="preserve">Section 5.3.11. </w:t>
      </w:r>
      <w:r w:rsidR="00C11314">
        <w:rPr>
          <w:rFonts w:ascii="Garamond" w:eastAsia="Times New Roman" w:hAnsi="Garamond"/>
          <w:sz w:val="24"/>
          <w:szCs w:val="24"/>
        </w:rPr>
        <w:t>of the WMP Guidelines</w:t>
      </w:r>
      <w:r w:rsidR="00D50B67">
        <w:rPr>
          <w:rFonts w:ascii="Garamond" w:eastAsia="Times New Roman" w:hAnsi="Garamond"/>
          <w:sz w:val="24"/>
          <w:szCs w:val="24"/>
        </w:rPr>
        <w:t xml:space="preserve"> defines </w:t>
      </w:r>
      <w:r w:rsidR="002C651D">
        <w:rPr>
          <w:rFonts w:ascii="Garamond" w:eastAsia="Times New Roman" w:hAnsi="Garamond"/>
          <w:sz w:val="24"/>
          <w:szCs w:val="24"/>
        </w:rPr>
        <w:t xml:space="preserve">various initiatives to include training and development of </w:t>
      </w:r>
      <w:r w:rsidR="007E48AC">
        <w:rPr>
          <w:rFonts w:ascii="Garamond" w:eastAsia="Times New Roman" w:hAnsi="Garamond"/>
          <w:sz w:val="24"/>
          <w:szCs w:val="24"/>
        </w:rPr>
        <w:t>the workforce</w:t>
      </w:r>
      <w:r w:rsidR="000C637A">
        <w:rPr>
          <w:rFonts w:ascii="Garamond" w:eastAsia="Times New Roman" w:hAnsi="Garamond"/>
          <w:sz w:val="24"/>
          <w:szCs w:val="24"/>
        </w:rPr>
        <w:t>.</w:t>
      </w:r>
      <w:r w:rsidR="000E7451">
        <w:rPr>
          <w:rStyle w:val="FootnoteReference"/>
          <w:rFonts w:ascii="Garamond" w:eastAsia="Times New Roman" w:hAnsi="Garamond"/>
          <w:sz w:val="24"/>
          <w:szCs w:val="24"/>
        </w:rPr>
        <w:footnoteReference w:id="22"/>
      </w:r>
      <w:r w:rsidR="000C637A">
        <w:rPr>
          <w:rFonts w:ascii="Garamond" w:eastAsia="Times New Roman" w:hAnsi="Garamond"/>
          <w:sz w:val="24"/>
          <w:szCs w:val="24"/>
        </w:rPr>
        <w:t xml:space="preserve">  The utilities are therefore required to </w:t>
      </w:r>
      <w:r w:rsidR="00E23364">
        <w:rPr>
          <w:rFonts w:ascii="Garamond" w:eastAsia="Times New Roman" w:hAnsi="Garamond"/>
          <w:sz w:val="24"/>
          <w:szCs w:val="24"/>
        </w:rPr>
        <w:t>describe</w:t>
      </w:r>
      <w:r w:rsidR="00AE0F4C">
        <w:rPr>
          <w:rFonts w:ascii="Garamond" w:eastAsia="Times New Roman" w:hAnsi="Garamond"/>
          <w:sz w:val="24"/>
          <w:szCs w:val="24"/>
        </w:rPr>
        <w:t xml:space="preserve"> in the WMPs</w:t>
      </w:r>
      <w:r w:rsidR="000C637A">
        <w:rPr>
          <w:rFonts w:ascii="Garamond" w:eastAsia="Times New Roman" w:hAnsi="Garamond"/>
          <w:sz w:val="24"/>
          <w:szCs w:val="24"/>
        </w:rPr>
        <w:t xml:space="preserve"> inf</w:t>
      </w:r>
      <w:r w:rsidR="00FE18B2">
        <w:rPr>
          <w:rFonts w:ascii="Garamond" w:eastAsia="Times New Roman" w:hAnsi="Garamond"/>
          <w:sz w:val="24"/>
          <w:szCs w:val="24"/>
        </w:rPr>
        <w:t>ormation about training</w:t>
      </w:r>
      <w:r w:rsidR="00AE0F4C">
        <w:rPr>
          <w:rFonts w:ascii="Garamond" w:eastAsia="Times New Roman" w:hAnsi="Garamond"/>
          <w:sz w:val="24"/>
          <w:szCs w:val="24"/>
        </w:rPr>
        <w:t xml:space="preserve"> and workforce development for</w:t>
      </w:r>
      <w:r w:rsidR="00EE1874">
        <w:rPr>
          <w:rFonts w:ascii="Garamond" w:eastAsia="Times New Roman" w:hAnsi="Garamond"/>
          <w:sz w:val="24"/>
          <w:szCs w:val="24"/>
        </w:rPr>
        <w:t xml:space="preserve"> initiatives including </w:t>
      </w:r>
      <w:r w:rsidR="00D37F1D">
        <w:rPr>
          <w:rFonts w:ascii="Garamond" w:eastAsia="Times New Roman" w:hAnsi="Garamond"/>
          <w:sz w:val="24"/>
          <w:szCs w:val="24"/>
        </w:rPr>
        <w:t xml:space="preserve">improving asset management and inspections, </w:t>
      </w:r>
      <w:r w:rsidR="003341F0">
        <w:rPr>
          <w:rFonts w:ascii="Garamond" w:eastAsia="Times New Roman" w:hAnsi="Garamond"/>
          <w:sz w:val="24"/>
          <w:szCs w:val="24"/>
        </w:rPr>
        <w:t>improving vegetation management and inspections</w:t>
      </w:r>
      <w:r w:rsidR="005D2564">
        <w:rPr>
          <w:rFonts w:ascii="Garamond" w:eastAsia="Times New Roman" w:hAnsi="Garamond"/>
          <w:sz w:val="24"/>
          <w:szCs w:val="24"/>
        </w:rPr>
        <w:t xml:space="preserve">, recruiting vegetation management personnel, </w:t>
      </w:r>
      <w:r w:rsidR="0098431E">
        <w:rPr>
          <w:rFonts w:ascii="Garamond" w:eastAsia="Times New Roman" w:hAnsi="Garamond"/>
          <w:sz w:val="24"/>
          <w:szCs w:val="24"/>
        </w:rPr>
        <w:t xml:space="preserve">grid operations </w:t>
      </w:r>
      <w:r w:rsidR="008100A2">
        <w:rPr>
          <w:rFonts w:ascii="Garamond" w:eastAsia="Times New Roman" w:hAnsi="Garamond"/>
          <w:sz w:val="24"/>
          <w:szCs w:val="24"/>
        </w:rPr>
        <w:t>work procedures in conditions of elevated fire ris</w:t>
      </w:r>
      <w:r w:rsidR="00C104DA">
        <w:rPr>
          <w:rFonts w:ascii="Garamond" w:eastAsia="Times New Roman" w:hAnsi="Garamond"/>
          <w:sz w:val="24"/>
          <w:szCs w:val="24"/>
        </w:rPr>
        <w:t>k,</w:t>
      </w:r>
      <w:r w:rsidR="00AA0869">
        <w:rPr>
          <w:rFonts w:ascii="Garamond" w:eastAsia="Times New Roman" w:hAnsi="Garamond"/>
          <w:sz w:val="24"/>
          <w:szCs w:val="24"/>
        </w:rPr>
        <w:t xml:space="preserve"> </w:t>
      </w:r>
      <w:r w:rsidR="002A4CF7">
        <w:rPr>
          <w:rFonts w:ascii="Garamond" w:eastAsia="Times New Roman" w:hAnsi="Garamond"/>
          <w:sz w:val="24"/>
          <w:szCs w:val="24"/>
        </w:rPr>
        <w:t xml:space="preserve">and </w:t>
      </w:r>
      <w:r w:rsidR="00AA0869">
        <w:rPr>
          <w:rFonts w:ascii="Garamond" w:eastAsia="Times New Roman" w:hAnsi="Garamond"/>
          <w:sz w:val="24"/>
          <w:szCs w:val="24"/>
        </w:rPr>
        <w:t xml:space="preserve">emergency preparedness and </w:t>
      </w:r>
      <w:r w:rsidR="008C480E">
        <w:rPr>
          <w:rFonts w:ascii="Garamond" w:eastAsia="Times New Roman" w:hAnsi="Garamond"/>
          <w:sz w:val="24"/>
          <w:szCs w:val="24"/>
        </w:rPr>
        <w:t xml:space="preserve">planning for </w:t>
      </w:r>
      <w:r w:rsidR="00D55911">
        <w:rPr>
          <w:rFonts w:ascii="Garamond" w:eastAsia="Times New Roman" w:hAnsi="Garamond"/>
          <w:sz w:val="24"/>
          <w:szCs w:val="24"/>
        </w:rPr>
        <w:t>service restoration</w:t>
      </w:r>
      <w:r w:rsidR="002A4CF7">
        <w:rPr>
          <w:rFonts w:ascii="Garamond" w:eastAsia="Times New Roman" w:hAnsi="Garamond"/>
          <w:sz w:val="24"/>
          <w:szCs w:val="24"/>
        </w:rPr>
        <w:t>.</w:t>
      </w:r>
      <w:r w:rsidR="00D55911">
        <w:rPr>
          <w:rFonts w:ascii="Garamond" w:eastAsia="Times New Roman" w:hAnsi="Garamond"/>
          <w:sz w:val="24"/>
          <w:szCs w:val="24"/>
        </w:rPr>
        <w:t xml:space="preserve"> </w:t>
      </w:r>
    </w:p>
    <w:p w14:paraId="16B84957" w14:textId="77777777" w:rsidR="00306973" w:rsidRPr="00D27CF3" w:rsidRDefault="00306973" w:rsidP="00855C71">
      <w:pPr>
        <w:spacing w:after="0"/>
        <w:rPr>
          <w:rFonts w:ascii="Garamond" w:eastAsia="Times New Roman" w:hAnsi="Garamond"/>
          <w:sz w:val="24"/>
          <w:szCs w:val="24"/>
        </w:rPr>
      </w:pPr>
    </w:p>
    <w:p w14:paraId="36E25351" w14:textId="0753028A" w:rsidR="00306973" w:rsidRPr="00D27CF3" w:rsidRDefault="00306973" w:rsidP="00855C71">
      <w:pPr>
        <w:rPr>
          <w:rFonts w:ascii="Century Gothic" w:eastAsia="Times New Roman" w:hAnsi="Century Gothic"/>
        </w:rPr>
      </w:pPr>
      <w:r w:rsidRPr="00D27CF3">
        <w:rPr>
          <w:rFonts w:ascii="Century Gothic" w:eastAsia="Times New Roman" w:hAnsi="Century Gothic"/>
        </w:rPr>
        <w:t>Recommendation</w:t>
      </w:r>
      <w:r w:rsidR="00BC25F2" w:rsidRPr="00D27CF3">
        <w:rPr>
          <w:rFonts w:ascii="Century Gothic" w:eastAsia="Times New Roman" w:hAnsi="Century Gothic"/>
        </w:rPr>
        <w:t>s</w:t>
      </w:r>
      <w:r w:rsidRPr="00D27CF3">
        <w:rPr>
          <w:rFonts w:ascii="Century Gothic" w:eastAsia="Times New Roman" w:hAnsi="Century Gothic"/>
        </w:rPr>
        <w:t xml:space="preserve">: </w:t>
      </w:r>
    </w:p>
    <w:p w14:paraId="23A3138F" w14:textId="0A375B3D" w:rsidR="00306973" w:rsidRPr="00D27CF3" w:rsidRDefault="001A57A7" w:rsidP="00C115EF">
      <w:pPr>
        <w:pStyle w:val="ListParagraph"/>
        <w:numPr>
          <w:ilvl w:val="0"/>
          <w:numId w:val="18"/>
        </w:numPr>
        <w:spacing w:after="0"/>
        <w:contextualSpacing w:val="0"/>
        <w:rPr>
          <w:rFonts w:ascii="Garamond" w:eastAsia="Times New Roman" w:hAnsi="Garamond"/>
          <w:sz w:val="24"/>
          <w:szCs w:val="24"/>
        </w:rPr>
      </w:pPr>
      <w:r w:rsidRPr="00D27CF3">
        <w:rPr>
          <w:rFonts w:ascii="Garamond" w:eastAsia="Times New Roman" w:hAnsi="Garamond"/>
          <w:sz w:val="24"/>
          <w:szCs w:val="24"/>
        </w:rPr>
        <w:t>The</w:t>
      </w:r>
      <w:r w:rsidR="00FB5BB8" w:rsidRPr="00D27CF3">
        <w:rPr>
          <w:rFonts w:ascii="Garamond" w:eastAsia="Times New Roman" w:hAnsi="Garamond"/>
          <w:sz w:val="24"/>
          <w:szCs w:val="24"/>
        </w:rPr>
        <w:t xml:space="preserve"> Wildfire Safety Division </w:t>
      </w:r>
      <w:r w:rsidRPr="00D27CF3">
        <w:rPr>
          <w:rFonts w:ascii="Garamond" w:eastAsia="Times New Roman" w:hAnsi="Garamond"/>
          <w:sz w:val="24"/>
          <w:szCs w:val="24"/>
        </w:rPr>
        <w:t xml:space="preserve">should </w:t>
      </w:r>
      <w:r w:rsidR="00FB5BB8" w:rsidRPr="00D27CF3">
        <w:rPr>
          <w:rFonts w:ascii="Garamond" w:eastAsia="Times New Roman" w:hAnsi="Garamond"/>
          <w:sz w:val="24"/>
          <w:szCs w:val="24"/>
        </w:rPr>
        <w:t xml:space="preserve">consider </w:t>
      </w:r>
      <w:r w:rsidR="006E0C6F" w:rsidRPr="00D27CF3">
        <w:rPr>
          <w:rFonts w:ascii="Garamond" w:eastAsia="Times New Roman" w:hAnsi="Garamond"/>
          <w:sz w:val="24"/>
          <w:szCs w:val="24"/>
        </w:rPr>
        <w:t xml:space="preserve">whether the </w:t>
      </w:r>
      <w:r w:rsidR="00FC2C46" w:rsidRPr="00D27CF3">
        <w:rPr>
          <w:rFonts w:ascii="Garamond" w:eastAsia="Times New Roman" w:hAnsi="Garamond"/>
          <w:sz w:val="24"/>
          <w:szCs w:val="24"/>
        </w:rPr>
        <w:t xml:space="preserve">utilities are </w:t>
      </w:r>
      <w:r w:rsidR="003A2583" w:rsidRPr="00D27CF3">
        <w:rPr>
          <w:rFonts w:ascii="Garamond" w:eastAsia="Times New Roman" w:hAnsi="Garamond"/>
          <w:sz w:val="24"/>
          <w:szCs w:val="24"/>
        </w:rPr>
        <w:t>hiring</w:t>
      </w:r>
      <w:r w:rsidR="00FB5BB8" w:rsidRPr="00D27CF3">
        <w:rPr>
          <w:rFonts w:ascii="Garamond" w:eastAsia="Times New Roman" w:hAnsi="Garamond"/>
          <w:sz w:val="24"/>
          <w:szCs w:val="24"/>
        </w:rPr>
        <w:t xml:space="preserve"> electrical asset inspectors</w:t>
      </w:r>
      <w:r w:rsidR="00CA5E30" w:rsidRPr="00D27CF3">
        <w:rPr>
          <w:rFonts w:ascii="Garamond" w:eastAsia="Times New Roman" w:hAnsi="Garamond"/>
          <w:sz w:val="24"/>
          <w:szCs w:val="24"/>
        </w:rPr>
        <w:t xml:space="preserve"> </w:t>
      </w:r>
      <w:r w:rsidRPr="00D27CF3">
        <w:rPr>
          <w:rFonts w:ascii="Garamond" w:eastAsia="Times New Roman" w:hAnsi="Garamond"/>
          <w:sz w:val="24"/>
          <w:szCs w:val="24"/>
        </w:rPr>
        <w:t>with</w:t>
      </w:r>
      <w:r w:rsidR="00CA5E30" w:rsidRPr="00D27CF3">
        <w:rPr>
          <w:rFonts w:ascii="Garamond" w:eastAsia="Times New Roman" w:hAnsi="Garamond"/>
          <w:sz w:val="24"/>
          <w:szCs w:val="24"/>
        </w:rPr>
        <w:t xml:space="preserve"> qualifications </w:t>
      </w:r>
      <w:r w:rsidRPr="00D27CF3">
        <w:rPr>
          <w:rFonts w:ascii="Garamond" w:eastAsia="Times New Roman" w:hAnsi="Garamond"/>
          <w:sz w:val="24"/>
          <w:szCs w:val="24"/>
        </w:rPr>
        <w:t>that</w:t>
      </w:r>
      <w:r w:rsidR="00CA5E30" w:rsidRPr="00D27CF3">
        <w:rPr>
          <w:rFonts w:ascii="Garamond" w:eastAsia="Times New Roman" w:hAnsi="Garamond"/>
          <w:sz w:val="24"/>
          <w:szCs w:val="24"/>
        </w:rPr>
        <w:t xml:space="preserve"> go beyond a basic knowledge of General Order 95 requirements.</w:t>
      </w:r>
      <w:r w:rsidRPr="00D27CF3">
        <w:rPr>
          <w:rFonts w:ascii="Garamond" w:eastAsia="Times New Roman" w:hAnsi="Garamond"/>
          <w:sz w:val="24"/>
          <w:szCs w:val="24"/>
        </w:rPr>
        <w:t xml:space="preserve">  The </w:t>
      </w:r>
      <w:r w:rsidR="00FB3D17" w:rsidRPr="00D27CF3">
        <w:rPr>
          <w:rFonts w:ascii="Garamond" w:eastAsia="Times New Roman" w:hAnsi="Garamond"/>
          <w:sz w:val="24"/>
          <w:szCs w:val="24"/>
        </w:rPr>
        <w:t xml:space="preserve">Division should also consider whether </w:t>
      </w:r>
      <w:r w:rsidR="003052C4" w:rsidRPr="00D27CF3">
        <w:rPr>
          <w:rFonts w:ascii="Garamond" w:eastAsia="Times New Roman" w:hAnsi="Garamond"/>
          <w:sz w:val="24"/>
          <w:szCs w:val="24"/>
        </w:rPr>
        <w:t xml:space="preserve">the utilities are developing robust training programs </w:t>
      </w:r>
      <w:r w:rsidR="0063754A" w:rsidRPr="00D27CF3">
        <w:rPr>
          <w:rFonts w:ascii="Garamond" w:eastAsia="Times New Roman" w:hAnsi="Garamond"/>
          <w:sz w:val="24"/>
          <w:szCs w:val="24"/>
        </w:rPr>
        <w:t xml:space="preserve">that (A) train workers to identify hazards that could ignite wildfires, and (B) </w:t>
      </w:r>
      <w:r w:rsidR="00C5054C" w:rsidRPr="00D27CF3">
        <w:rPr>
          <w:rFonts w:ascii="Garamond" w:eastAsia="Times New Roman" w:hAnsi="Garamond"/>
          <w:sz w:val="24"/>
          <w:szCs w:val="24"/>
        </w:rPr>
        <w:t xml:space="preserve">increase the pool of qualified </w:t>
      </w:r>
      <w:r w:rsidR="0063754A" w:rsidRPr="00D27CF3">
        <w:rPr>
          <w:rFonts w:ascii="Garamond" w:eastAsia="Times New Roman" w:hAnsi="Garamond"/>
          <w:sz w:val="24"/>
          <w:szCs w:val="24"/>
        </w:rPr>
        <w:t xml:space="preserve">electrical </w:t>
      </w:r>
      <w:r w:rsidR="00C5054C" w:rsidRPr="00D27CF3">
        <w:rPr>
          <w:rFonts w:ascii="Garamond" w:eastAsia="Times New Roman" w:hAnsi="Garamond"/>
          <w:sz w:val="24"/>
          <w:szCs w:val="24"/>
        </w:rPr>
        <w:t>work</w:t>
      </w:r>
      <w:r w:rsidR="00017D83" w:rsidRPr="00D27CF3">
        <w:rPr>
          <w:rFonts w:ascii="Garamond" w:eastAsia="Times New Roman" w:hAnsi="Garamond"/>
          <w:sz w:val="24"/>
          <w:szCs w:val="24"/>
        </w:rPr>
        <w:t>ers</w:t>
      </w:r>
      <w:r w:rsidR="0063754A" w:rsidRPr="00D27CF3">
        <w:rPr>
          <w:rFonts w:ascii="Garamond" w:eastAsia="Times New Roman" w:hAnsi="Garamond"/>
          <w:sz w:val="24"/>
          <w:szCs w:val="24"/>
        </w:rPr>
        <w:t xml:space="preserve">. </w:t>
      </w:r>
    </w:p>
    <w:p w14:paraId="314433B6" w14:textId="77777777" w:rsidR="00306973" w:rsidRPr="00D27CF3" w:rsidRDefault="00306973" w:rsidP="00C115EF">
      <w:pPr>
        <w:spacing w:after="0"/>
        <w:rPr>
          <w:rFonts w:ascii="Garamond" w:eastAsia="Times New Roman" w:hAnsi="Garamond"/>
          <w:sz w:val="24"/>
          <w:szCs w:val="24"/>
        </w:rPr>
      </w:pPr>
    </w:p>
    <w:p w14:paraId="04797072" w14:textId="5A021EDE" w:rsidR="00306973" w:rsidRPr="00D27CF3" w:rsidRDefault="00BC25F2" w:rsidP="00C115EF">
      <w:pPr>
        <w:rPr>
          <w:rFonts w:ascii="Century Gothic" w:eastAsia="Times New Roman" w:hAnsi="Century Gothic"/>
        </w:rPr>
      </w:pPr>
      <w:r w:rsidRPr="00D27CF3">
        <w:rPr>
          <w:rFonts w:ascii="Century Gothic" w:eastAsia="Times New Roman" w:hAnsi="Century Gothic"/>
        </w:rPr>
        <w:t>Observations</w:t>
      </w:r>
      <w:r w:rsidR="00306973" w:rsidRPr="00D27CF3">
        <w:rPr>
          <w:rFonts w:ascii="Century Gothic" w:eastAsia="Times New Roman" w:hAnsi="Century Gothic"/>
        </w:rPr>
        <w:t>:</w:t>
      </w:r>
    </w:p>
    <w:p w14:paraId="41DB8122" w14:textId="7D82E1EC" w:rsidR="00306973" w:rsidRPr="00D27CF3" w:rsidRDefault="00306973"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 xml:space="preserve">The level of expertise that is currently relied upon to perform electrical inspections is </w:t>
      </w:r>
      <w:r w:rsidR="00216FF0" w:rsidRPr="00D27CF3">
        <w:rPr>
          <w:rFonts w:ascii="Garamond" w:eastAsia="Times New Roman" w:hAnsi="Garamond"/>
          <w:sz w:val="24"/>
          <w:szCs w:val="24"/>
        </w:rPr>
        <w:t xml:space="preserve">inconsistent </w:t>
      </w:r>
      <w:r w:rsidR="00216FF0">
        <w:rPr>
          <w:rFonts w:ascii="Garamond" w:eastAsia="Times New Roman" w:hAnsi="Garamond"/>
          <w:sz w:val="24"/>
          <w:szCs w:val="24"/>
        </w:rPr>
        <w:t>across utilities</w:t>
      </w:r>
      <w:r w:rsidRPr="00D27CF3">
        <w:rPr>
          <w:rFonts w:ascii="Garamond" w:eastAsia="Times New Roman" w:hAnsi="Garamond"/>
          <w:sz w:val="24"/>
          <w:szCs w:val="24"/>
        </w:rPr>
        <w:t xml:space="preserve">.  Although utility overhead inspectors must have basic knowledge of General Order 95 requirements, moving forward, additional electrical inspection training </w:t>
      </w:r>
      <w:r w:rsidR="006F163E">
        <w:rPr>
          <w:rFonts w:ascii="Garamond" w:eastAsia="Times New Roman" w:hAnsi="Garamond"/>
          <w:sz w:val="24"/>
          <w:szCs w:val="24"/>
        </w:rPr>
        <w:t>should</w:t>
      </w:r>
      <w:r w:rsidRPr="00D27CF3">
        <w:rPr>
          <w:rFonts w:ascii="Garamond" w:eastAsia="Times New Roman" w:hAnsi="Garamond"/>
          <w:sz w:val="24"/>
          <w:szCs w:val="24"/>
        </w:rPr>
        <w:t xml:space="preserve"> be required.  </w:t>
      </w:r>
    </w:p>
    <w:p w14:paraId="1CF5DD45" w14:textId="424AA679" w:rsidR="00306973" w:rsidRDefault="00306973"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 xml:space="preserve">Utilities </w:t>
      </w:r>
      <w:r w:rsidR="004A0FBC">
        <w:rPr>
          <w:rFonts w:ascii="Garamond" w:eastAsia="Times New Roman" w:hAnsi="Garamond"/>
          <w:sz w:val="24"/>
          <w:szCs w:val="24"/>
        </w:rPr>
        <w:t>should</w:t>
      </w:r>
      <w:r w:rsidRPr="00D27CF3">
        <w:rPr>
          <w:rFonts w:ascii="Garamond" w:eastAsia="Times New Roman" w:hAnsi="Garamond"/>
          <w:sz w:val="24"/>
          <w:szCs w:val="24"/>
        </w:rPr>
        <w:t xml:space="preserve"> develop additional qualified </w:t>
      </w:r>
      <w:r w:rsidR="00B76334" w:rsidRPr="009B62AA">
        <w:rPr>
          <w:rFonts w:ascii="Garamond" w:eastAsia="Times New Roman" w:hAnsi="Garamond"/>
          <w:color w:val="FF0000"/>
          <w:sz w:val="24"/>
          <w:szCs w:val="24"/>
        </w:rPr>
        <w:t>workers</w:t>
      </w:r>
      <w:r w:rsidR="00B76334">
        <w:rPr>
          <w:rFonts w:ascii="Garamond" w:eastAsia="Times New Roman" w:hAnsi="Garamond"/>
          <w:sz w:val="24"/>
          <w:szCs w:val="24"/>
        </w:rPr>
        <w:t xml:space="preserve"> </w:t>
      </w:r>
      <w:r w:rsidRPr="00D27CF3">
        <w:rPr>
          <w:rFonts w:ascii="Garamond" w:eastAsia="Times New Roman" w:hAnsi="Garamond"/>
          <w:sz w:val="24"/>
          <w:szCs w:val="24"/>
        </w:rPr>
        <w:t xml:space="preserve">to inspect and vet electrical assets within each wildfire mitigation area.  </w:t>
      </w:r>
    </w:p>
    <w:p w14:paraId="71C3B3A2" w14:textId="5B53AE7F" w:rsidR="00195F38" w:rsidRPr="009B62AA" w:rsidRDefault="00195F38" w:rsidP="00C115EF">
      <w:pPr>
        <w:pStyle w:val="ListParagraph"/>
        <w:numPr>
          <w:ilvl w:val="0"/>
          <w:numId w:val="11"/>
        </w:numPr>
        <w:ind w:left="360"/>
        <w:contextualSpacing w:val="0"/>
        <w:rPr>
          <w:rFonts w:ascii="Garamond" w:eastAsia="Times New Roman" w:hAnsi="Garamond"/>
          <w:color w:val="FF0000"/>
          <w:sz w:val="24"/>
          <w:szCs w:val="24"/>
        </w:rPr>
      </w:pPr>
      <w:r w:rsidRPr="009B62AA">
        <w:rPr>
          <w:rFonts w:ascii="Garamond" w:eastAsia="Times New Roman" w:hAnsi="Garamond"/>
          <w:color w:val="FF0000"/>
          <w:sz w:val="24"/>
          <w:szCs w:val="24"/>
        </w:rPr>
        <w:t>Given the concerns in the workforce over safety</w:t>
      </w:r>
      <w:r w:rsidR="00390AE2" w:rsidRPr="009B62AA">
        <w:rPr>
          <w:rFonts w:ascii="Garamond" w:eastAsia="Times New Roman" w:hAnsi="Garamond"/>
          <w:color w:val="FF0000"/>
          <w:sz w:val="24"/>
          <w:szCs w:val="24"/>
        </w:rPr>
        <w:t xml:space="preserve"> as a result of continued operations during the global COVID-19 pandemic</w:t>
      </w:r>
      <w:r w:rsidR="00535FAD" w:rsidRPr="009B62AA">
        <w:rPr>
          <w:rFonts w:ascii="Garamond" w:eastAsia="Times New Roman" w:hAnsi="Garamond"/>
          <w:color w:val="FF0000"/>
          <w:sz w:val="24"/>
          <w:szCs w:val="24"/>
        </w:rPr>
        <w:t xml:space="preserve">, training programs become more important than ever.  Workforce training </w:t>
      </w:r>
      <w:r w:rsidR="00BC42BF" w:rsidRPr="009B62AA">
        <w:rPr>
          <w:rFonts w:ascii="Garamond" w:eastAsia="Times New Roman" w:hAnsi="Garamond"/>
          <w:color w:val="FF0000"/>
          <w:sz w:val="24"/>
          <w:szCs w:val="24"/>
        </w:rPr>
        <w:t xml:space="preserve">to effectively </w:t>
      </w:r>
      <w:r w:rsidR="00201181" w:rsidRPr="009B62AA">
        <w:rPr>
          <w:rFonts w:ascii="Garamond" w:eastAsia="Times New Roman" w:hAnsi="Garamond"/>
          <w:color w:val="FF0000"/>
          <w:sz w:val="24"/>
          <w:szCs w:val="24"/>
        </w:rPr>
        <w:t xml:space="preserve">identify hazards </w:t>
      </w:r>
      <w:r w:rsidR="00DE37B1" w:rsidRPr="009B62AA">
        <w:rPr>
          <w:rFonts w:ascii="Garamond" w:eastAsia="Times New Roman" w:hAnsi="Garamond"/>
          <w:color w:val="FF0000"/>
          <w:sz w:val="24"/>
          <w:szCs w:val="24"/>
        </w:rPr>
        <w:t>as well as</w:t>
      </w:r>
      <w:r w:rsidR="00201181" w:rsidRPr="009B62AA">
        <w:rPr>
          <w:rFonts w:ascii="Garamond" w:eastAsia="Times New Roman" w:hAnsi="Garamond"/>
          <w:color w:val="FF0000"/>
          <w:sz w:val="24"/>
          <w:szCs w:val="24"/>
        </w:rPr>
        <w:t xml:space="preserve"> increas</w:t>
      </w:r>
      <w:r w:rsidR="00DE37B1" w:rsidRPr="009B62AA">
        <w:rPr>
          <w:rFonts w:ascii="Garamond" w:eastAsia="Times New Roman" w:hAnsi="Garamond"/>
          <w:color w:val="FF0000"/>
          <w:sz w:val="24"/>
          <w:szCs w:val="24"/>
        </w:rPr>
        <w:t>ing</w:t>
      </w:r>
      <w:r w:rsidR="00201181" w:rsidRPr="009B62AA">
        <w:rPr>
          <w:rFonts w:ascii="Garamond" w:eastAsia="Times New Roman" w:hAnsi="Garamond"/>
          <w:color w:val="FF0000"/>
          <w:sz w:val="24"/>
          <w:szCs w:val="24"/>
        </w:rPr>
        <w:t xml:space="preserve"> the pool of qualified workers remains critical</w:t>
      </w:r>
      <w:r w:rsidR="008A3C85" w:rsidRPr="009B62AA">
        <w:rPr>
          <w:rFonts w:ascii="Garamond" w:eastAsia="Times New Roman" w:hAnsi="Garamond"/>
          <w:color w:val="FF0000"/>
          <w:sz w:val="24"/>
          <w:szCs w:val="24"/>
        </w:rPr>
        <w:t xml:space="preserve"> because wildfir</w:t>
      </w:r>
      <w:r w:rsidR="00A61A84" w:rsidRPr="009B62AA">
        <w:rPr>
          <w:rFonts w:ascii="Garamond" w:eastAsia="Times New Roman" w:hAnsi="Garamond"/>
          <w:color w:val="FF0000"/>
          <w:sz w:val="24"/>
          <w:szCs w:val="24"/>
        </w:rPr>
        <w:t>e threat remains high</w:t>
      </w:r>
      <w:r w:rsidR="000B054B" w:rsidRPr="009B62AA">
        <w:rPr>
          <w:rFonts w:ascii="Garamond" w:eastAsia="Times New Roman" w:hAnsi="Garamond"/>
          <w:color w:val="FF0000"/>
          <w:sz w:val="24"/>
          <w:szCs w:val="24"/>
        </w:rPr>
        <w:t xml:space="preserve"> despite the </w:t>
      </w:r>
      <w:r w:rsidR="00357035" w:rsidRPr="009B62AA">
        <w:rPr>
          <w:rFonts w:ascii="Garamond" w:eastAsia="Times New Roman" w:hAnsi="Garamond"/>
          <w:color w:val="FF0000"/>
          <w:sz w:val="24"/>
          <w:szCs w:val="24"/>
        </w:rPr>
        <w:t>impacts of</w:t>
      </w:r>
      <w:r w:rsidR="000B054B" w:rsidRPr="009B62AA">
        <w:rPr>
          <w:rFonts w:ascii="Garamond" w:eastAsia="Times New Roman" w:hAnsi="Garamond"/>
          <w:color w:val="FF0000"/>
          <w:sz w:val="24"/>
          <w:szCs w:val="24"/>
        </w:rPr>
        <w:t xml:space="preserve"> COVID-19.  </w:t>
      </w:r>
      <w:r w:rsidR="00E76CE9" w:rsidRPr="009B62AA">
        <w:rPr>
          <w:rFonts w:ascii="Garamond" w:eastAsia="Times New Roman" w:hAnsi="Garamond"/>
          <w:color w:val="FF0000"/>
          <w:sz w:val="24"/>
          <w:szCs w:val="24"/>
        </w:rPr>
        <w:t xml:space="preserve">The utilities </w:t>
      </w:r>
      <w:r w:rsidR="00D656FF" w:rsidRPr="009B62AA">
        <w:rPr>
          <w:rFonts w:ascii="Garamond" w:eastAsia="Times New Roman" w:hAnsi="Garamond"/>
          <w:color w:val="FF0000"/>
          <w:sz w:val="24"/>
          <w:szCs w:val="24"/>
        </w:rPr>
        <w:t>should</w:t>
      </w:r>
      <w:r w:rsidR="00E76CE9" w:rsidRPr="009B62AA">
        <w:rPr>
          <w:rFonts w:ascii="Garamond" w:eastAsia="Times New Roman" w:hAnsi="Garamond"/>
          <w:color w:val="FF0000"/>
          <w:sz w:val="24"/>
          <w:szCs w:val="24"/>
        </w:rPr>
        <w:t xml:space="preserve"> use all available technological resources to </w:t>
      </w:r>
      <w:r w:rsidR="008A3C85" w:rsidRPr="009B62AA">
        <w:rPr>
          <w:rFonts w:ascii="Garamond" w:eastAsia="Times New Roman" w:hAnsi="Garamond"/>
          <w:color w:val="FF0000"/>
          <w:sz w:val="24"/>
          <w:szCs w:val="24"/>
        </w:rPr>
        <w:t xml:space="preserve">continue </w:t>
      </w:r>
      <w:r w:rsidR="00B370E4" w:rsidRPr="009B62AA">
        <w:rPr>
          <w:rFonts w:ascii="Garamond" w:eastAsia="Times New Roman" w:hAnsi="Garamond"/>
          <w:color w:val="FF0000"/>
          <w:sz w:val="24"/>
          <w:szCs w:val="24"/>
        </w:rPr>
        <w:t xml:space="preserve">and expand </w:t>
      </w:r>
      <w:r w:rsidR="008A3C85" w:rsidRPr="009B62AA">
        <w:rPr>
          <w:rFonts w:ascii="Garamond" w:eastAsia="Times New Roman" w:hAnsi="Garamond"/>
          <w:color w:val="FF0000"/>
          <w:sz w:val="24"/>
          <w:szCs w:val="24"/>
        </w:rPr>
        <w:t>training efforts bec</w:t>
      </w:r>
      <w:r w:rsidR="000B054B" w:rsidRPr="009B62AA">
        <w:rPr>
          <w:rFonts w:ascii="Garamond" w:eastAsia="Times New Roman" w:hAnsi="Garamond"/>
          <w:color w:val="FF0000"/>
          <w:sz w:val="24"/>
          <w:szCs w:val="24"/>
        </w:rPr>
        <w:t>a</w:t>
      </w:r>
      <w:r w:rsidR="00863EF3" w:rsidRPr="009B62AA">
        <w:rPr>
          <w:rFonts w:ascii="Garamond" w:eastAsia="Times New Roman" w:hAnsi="Garamond"/>
          <w:color w:val="FF0000"/>
          <w:sz w:val="24"/>
          <w:szCs w:val="24"/>
        </w:rPr>
        <w:t xml:space="preserve">use wildfire prevention, mitigation, and response cannot slow down as a result of the COVID-19 pandemic.  </w:t>
      </w:r>
    </w:p>
    <w:p w14:paraId="1F366826" w14:textId="2E6206BD" w:rsidR="00306973" w:rsidRPr="00D27CF3" w:rsidRDefault="00306973"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 xml:space="preserve">As areas are inspected and vetted, theses territories </w:t>
      </w:r>
      <w:r w:rsidR="00FB1752">
        <w:rPr>
          <w:rFonts w:ascii="Garamond" w:eastAsia="Times New Roman" w:hAnsi="Garamond"/>
          <w:sz w:val="24"/>
          <w:szCs w:val="24"/>
        </w:rPr>
        <w:t>should</w:t>
      </w:r>
      <w:r w:rsidRPr="00D27CF3">
        <w:rPr>
          <w:rFonts w:ascii="Garamond" w:eastAsia="Times New Roman" w:hAnsi="Garamond"/>
          <w:sz w:val="24"/>
          <w:szCs w:val="24"/>
        </w:rPr>
        <w:t xml:space="preserve"> be geo-coded and added to the GIS files submitted to the Wildfire Safety Division</w:t>
      </w:r>
      <w:r w:rsidR="00935470">
        <w:rPr>
          <w:rFonts w:ascii="Garamond" w:eastAsia="Times New Roman" w:hAnsi="Garamond"/>
          <w:sz w:val="24"/>
          <w:szCs w:val="24"/>
        </w:rPr>
        <w:t xml:space="preserve">.  </w:t>
      </w:r>
      <w:r w:rsidRPr="00D27CF3">
        <w:rPr>
          <w:rFonts w:ascii="Garamond" w:eastAsia="Times New Roman" w:hAnsi="Garamond"/>
          <w:sz w:val="24"/>
          <w:szCs w:val="24"/>
        </w:rPr>
        <w:t>A dedicated workforce of qualified utility inspectors to perform electrical inspection will provide a level of skill and experience that the Wildfire Safety Division can rely on for accurate and informative mapping of utility assets.</w:t>
      </w:r>
    </w:p>
    <w:p w14:paraId="0546499B" w14:textId="77777777" w:rsidR="00306973" w:rsidRPr="00D27CF3" w:rsidRDefault="00306973" w:rsidP="00C115EF">
      <w:pPr>
        <w:pStyle w:val="ListParagraph"/>
        <w:numPr>
          <w:ilvl w:val="0"/>
          <w:numId w:val="11"/>
        </w:numPr>
        <w:spacing w:after="0"/>
        <w:ind w:left="360"/>
        <w:contextualSpacing w:val="0"/>
        <w:rPr>
          <w:rFonts w:ascii="Garamond" w:eastAsia="Times New Roman" w:hAnsi="Garamond"/>
          <w:sz w:val="24"/>
          <w:szCs w:val="24"/>
        </w:rPr>
      </w:pPr>
      <w:r w:rsidRPr="00D27CF3">
        <w:rPr>
          <w:rFonts w:ascii="Garamond" w:eastAsia="Times New Roman" w:hAnsi="Garamond"/>
          <w:sz w:val="24"/>
          <w:szCs w:val="24"/>
        </w:rPr>
        <w:t xml:space="preserve">The Board expects utilities to work towards a high level of maturity in the Utility Wildfire Mitigation Maturity Model with respect to the development of a highly qualified workforce.  </w:t>
      </w:r>
    </w:p>
    <w:p w14:paraId="748283F1" w14:textId="2DB2E7FE" w:rsidR="00306973" w:rsidRPr="00DC5A8D" w:rsidRDefault="00306973" w:rsidP="00855C71">
      <w:pPr>
        <w:spacing w:after="0"/>
        <w:rPr>
          <w:rFonts w:ascii="Garamond" w:eastAsia="Times New Roman" w:hAnsi="Garamond"/>
          <w:sz w:val="24"/>
          <w:szCs w:val="24"/>
        </w:rPr>
      </w:pPr>
    </w:p>
    <w:p w14:paraId="4E0C9D13" w14:textId="77777777" w:rsidR="00306973" w:rsidRPr="00D27CF3" w:rsidRDefault="00306973" w:rsidP="00855C71">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54F2CABA" w14:textId="77777777" w:rsidR="00306973" w:rsidRPr="00D27CF3" w:rsidRDefault="00306973" w:rsidP="00C115EF">
      <w:pPr>
        <w:pStyle w:val="ListParagraph"/>
        <w:numPr>
          <w:ilvl w:val="0"/>
          <w:numId w:val="15"/>
        </w:numPr>
        <w:contextualSpacing w:val="0"/>
        <w:rPr>
          <w:rFonts w:ascii="Garamond" w:eastAsia="Times New Roman" w:hAnsi="Garamond"/>
          <w:sz w:val="24"/>
          <w:szCs w:val="24"/>
        </w:rPr>
      </w:pPr>
      <w:r w:rsidRPr="00D27CF3">
        <w:rPr>
          <w:rFonts w:ascii="Garamond" w:eastAsia="Times New Roman" w:hAnsi="Garamond"/>
          <w:sz w:val="24"/>
          <w:szCs w:val="24"/>
        </w:rPr>
        <w:t xml:space="preserve">Submission of proposals for CPUC consideration of minimum qualifications for electrical inspectors.  </w:t>
      </w:r>
    </w:p>
    <w:p w14:paraId="01581FD6" w14:textId="57556571" w:rsidR="00306973" w:rsidRPr="00DC5A8D" w:rsidRDefault="00306973" w:rsidP="00C115EF">
      <w:pPr>
        <w:pStyle w:val="ListParagraph"/>
        <w:numPr>
          <w:ilvl w:val="0"/>
          <w:numId w:val="15"/>
        </w:numPr>
        <w:contextualSpacing w:val="0"/>
        <w:rPr>
          <w:rFonts w:ascii="Garamond" w:eastAsia="Times New Roman" w:hAnsi="Garamond"/>
          <w:sz w:val="24"/>
          <w:szCs w:val="24"/>
        </w:rPr>
      </w:pPr>
      <w:r w:rsidRPr="00D27CF3">
        <w:rPr>
          <w:rFonts w:ascii="Garamond" w:eastAsia="Times New Roman" w:hAnsi="Garamond"/>
          <w:sz w:val="24"/>
          <w:szCs w:val="24"/>
        </w:rPr>
        <w:t>Submission of strategic plans to the Wildfire Safety Division that will help the utility increase the number of qualified electrical workers trained to perform electrical asset inspections</w:t>
      </w:r>
      <w:r w:rsidR="00935470">
        <w:rPr>
          <w:rFonts w:ascii="Garamond" w:eastAsia="Times New Roman" w:hAnsi="Garamond"/>
          <w:sz w:val="24"/>
          <w:szCs w:val="24"/>
        </w:rPr>
        <w:t xml:space="preserve">.  </w:t>
      </w:r>
      <w:r w:rsidR="00724A1E" w:rsidRPr="00D27CF3">
        <w:rPr>
          <w:rFonts w:ascii="Garamond" w:eastAsia="Times New Roman" w:hAnsi="Garamond"/>
          <w:sz w:val="24"/>
          <w:szCs w:val="24"/>
        </w:rPr>
        <w:t xml:space="preserve">The experience and training required includes familiarity with electrical construction practices, the apparatus necessary to sectionalize and de-energize circuits, and a variety of hazards associated with such equipment.  </w:t>
      </w:r>
    </w:p>
    <w:p w14:paraId="2CC9F530" w14:textId="022179AC" w:rsidR="00306973" w:rsidRPr="00D27CF3" w:rsidRDefault="00306973" w:rsidP="00C115EF">
      <w:pPr>
        <w:pStyle w:val="ListParagraph"/>
        <w:numPr>
          <w:ilvl w:val="0"/>
          <w:numId w:val="15"/>
        </w:numPr>
        <w:contextualSpacing w:val="0"/>
        <w:rPr>
          <w:rFonts w:ascii="Garamond" w:eastAsia="Times New Roman" w:hAnsi="Garamond"/>
          <w:sz w:val="24"/>
          <w:szCs w:val="24"/>
        </w:rPr>
      </w:pPr>
      <w:r w:rsidRPr="00D27CF3">
        <w:rPr>
          <w:rFonts w:ascii="Garamond" w:eastAsia="Times New Roman" w:hAnsi="Garamond"/>
          <w:sz w:val="24"/>
          <w:szCs w:val="24"/>
        </w:rPr>
        <w:t>Submission of</w:t>
      </w:r>
      <w:r w:rsidR="00724A1E" w:rsidRPr="00D27CF3">
        <w:rPr>
          <w:rFonts w:ascii="Garamond" w:eastAsia="Times New Roman" w:hAnsi="Garamond"/>
          <w:sz w:val="24"/>
          <w:szCs w:val="24"/>
        </w:rPr>
        <w:t xml:space="preserve"> Geographical Information System data</w:t>
      </w:r>
      <w:r w:rsidRPr="00D27CF3">
        <w:rPr>
          <w:rFonts w:ascii="Garamond" w:eastAsia="Times New Roman" w:hAnsi="Garamond"/>
          <w:sz w:val="24"/>
          <w:szCs w:val="24"/>
        </w:rPr>
        <w:t xml:space="preserve"> and time stamped locations to the Wildfire Safety Division of all inspections performed by qualified electrical inspectors.  </w:t>
      </w:r>
    </w:p>
    <w:p w14:paraId="2AD4E154" w14:textId="7B66731D" w:rsidR="004E20F0" w:rsidRPr="00D27CF3" w:rsidRDefault="00306973" w:rsidP="00C115EF">
      <w:pPr>
        <w:rPr>
          <w:rFonts w:ascii="Century Gothic" w:eastAsia="Times New Roman" w:hAnsi="Century Gothic"/>
        </w:rPr>
      </w:pPr>
      <w:r w:rsidRPr="00D27CF3">
        <w:rPr>
          <w:rFonts w:ascii="Century Gothic" w:eastAsia="Times New Roman" w:hAnsi="Century Gothic"/>
        </w:rPr>
        <w:br w:type="page"/>
      </w:r>
    </w:p>
    <w:p w14:paraId="13CF8FA1" w14:textId="533DB867" w:rsidR="003325D0" w:rsidRPr="00D27CF3" w:rsidRDefault="000E488A" w:rsidP="00C115EF">
      <w:pPr>
        <w:pStyle w:val="Heading1"/>
      </w:pPr>
      <w:bookmarkStart w:id="15" w:name="_Toc36750068"/>
      <w:bookmarkStart w:id="16" w:name="_Toc36319420"/>
      <w:r>
        <w:t>8</w:t>
      </w:r>
      <w:r w:rsidR="003325D0" w:rsidRPr="00D27CF3">
        <w:t xml:space="preserve">. </w:t>
      </w:r>
      <w:r w:rsidR="00B300DD" w:rsidRPr="00D27CF3">
        <w:t xml:space="preserve">Criteria to </w:t>
      </w:r>
      <w:r w:rsidR="00155661" w:rsidRPr="00D27CF3">
        <w:t>Prioritize Reducing</w:t>
      </w:r>
      <w:r w:rsidR="00B300DD" w:rsidRPr="00D27CF3">
        <w:t xml:space="preserve"> PSPS Events</w:t>
      </w:r>
      <w:r w:rsidR="00155661" w:rsidRPr="00D27CF3">
        <w:t xml:space="preserve"> for Critical Infrastructure</w:t>
      </w:r>
      <w:bookmarkEnd w:id="15"/>
    </w:p>
    <w:p w14:paraId="78ADED19" w14:textId="77777777" w:rsidR="003325D0" w:rsidRPr="003325D0" w:rsidRDefault="003325D0" w:rsidP="00C115EF">
      <w:pPr>
        <w:spacing w:after="0"/>
        <w:rPr>
          <w:sz w:val="8"/>
          <w:szCs w:val="8"/>
        </w:rPr>
      </w:pP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306973" w:rsidRPr="007C7BDA" w14:paraId="133BB9B4" w14:textId="77777777" w:rsidTr="003325D0">
        <w:trPr>
          <w:trHeight w:val="436"/>
          <w:jc w:val="center"/>
        </w:trPr>
        <w:tc>
          <w:tcPr>
            <w:tcW w:w="6480" w:type="dxa"/>
            <w:gridSpan w:val="2"/>
            <w:tcBorders>
              <w:bottom w:val="single" w:sz="12" w:space="0" w:color="8496B0" w:themeColor="text2" w:themeTint="99"/>
            </w:tcBorders>
            <w:shd w:val="clear" w:color="auto" w:fill="D9E2F3" w:themeFill="accent1" w:themeFillTint="33"/>
          </w:tcPr>
          <w:bookmarkEnd w:id="16"/>
          <w:p w14:paraId="76119369" w14:textId="0253F951" w:rsidR="00306973" w:rsidRPr="007C7BDA" w:rsidRDefault="00306973" w:rsidP="00C115EF">
            <w:pPr>
              <w:spacing w:before="60"/>
              <w:ind w:left="432"/>
              <w:rPr>
                <w:rFonts w:ascii="Garamond" w:hAnsi="Garamond"/>
              </w:rPr>
            </w:pPr>
            <w:r w:rsidRPr="007C7BDA">
              <w:rPr>
                <w:b/>
                <w:bCs/>
                <w:noProof/>
              </w:rPr>
              <w:drawing>
                <wp:anchor distT="0" distB="0" distL="114300" distR="114300" simplePos="0" relativeHeight="251658258" behindDoc="0" locked="0" layoutInCell="1" allowOverlap="0" wp14:anchorId="05165A9A" wp14:editId="459E6830">
                  <wp:simplePos x="0" y="0"/>
                  <wp:positionH relativeFrom="leftMargin">
                    <wp:posOffset>59690</wp:posOffset>
                  </wp:positionH>
                  <wp:positionV relativeFrom="paragraph">
                    <wp:posOffset>5927</wp:posOffset>
                  </wp:positionV>
                  <wp:extent cx="246888" cy="246888"/>
                  <wp:effectExtent l="0" t="0" r="1270" b="1270"/>
                  <wp:wrapNone/>
                  <wp:docPr id="50" name="Graphic 50"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1710139667"/>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1806686374"/>
                <w14:checkbox>
                  <w14:checked w14:val="0"/>
                  <w14:checkedState w14:val="2612" w14:font="MS Gothic"/>
                  <w14:uncheckedState w14:val="2610" w14:font="MS Gothic"/>
                </w14:checkbox>
              </w:sdtPr>
              <w:sdtEndPr/>
              <w:sdtContent>
                <w:r w:rsidRPr="007C7BDA">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26567391"/>
                <w14:checkbox>
                  <w14:checked w14:val="0"/>
                  <w14:checkedState w14:val="2612" w14:font="MS Gothic"/>
                  <w14:uncheckedState w14:val="2610" w14:font="MS Gothic"/>
                </w14:checkbox>
              </w:sdtPr>
              <w:sdtEndPr/>
              <w:sdtContent>
                <w:r w:rsidR="00722FAA">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1693649653"/>
                <w14:checkbox>
                  <w14:checked w14:val="1"/>
                  <w14:checkedState w14:val="2612" w14:font="MS Gothic"/>
                  <w14:uncheckedState w14:val="2610" w14:font="MS Gothic"/>
                </w14:checkbox>
              </w:sdtPr>
              <w:sdtEndPr/>
              <w:sdtContent>
                <w:r w:rsidR="00722FAA">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1B51266C" w14:textId="5719464C" w:rsidR="00306973" w:rsidRPr="007C7BDA" w:rsidRDefault="00306973" w:rsidP="00C115EF">
            <w:pPr>
              <w:spacing w:before="60"/>
              <w:ind w:left="-15"/>
              <w:rPr>
                <w:rFonts w:ascii="Garamond" w:hAnsi="Garamond"/>
              </w:rPr>
            </w:pPr>
            <w:r>
              <w:rPr>
                <w:rFonts w:ascii="Garamond" w:hAnsi="Garamond"/>
                <w:noProof/>
              </w:rPr>
              <w:drawing>
                <wp:anchor distT="0" distB="0" distL="114300" distR="114300" simplePos="0" relativeHeight="251658259" behindDoc="0" locked="0" layoutInCell="1" allowOverlap="1" wp14:anchorId="690FD3A6" wp14:editId="1F377BD2">
                  <wp:simplePos x="0" y="0"/>
                  <wp:positionH relativeFrom="column">
                    <wp:posOffset>-28575</wp:posOffset>
                  </wp:positionH>
                  <wp:positionV relativeFrom="paragraph">
                    <wp:posOffset>-20320</wp:posOffset>
                  </wp:positionV>
                  <wp:extent cx="295275" cy="295275"/>
                  <wp:effectExtent l="0" t="0" r="0" b="0"/>
                  <wp:wrapNone/>
                  <wp:docPr id="51" name="Graphic 51"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0E488A">
              <w:rPr>
                <w:rFonts w:ascii="Garamond" w:hAnsi="Garamond"/>
              </w:rPr>
              <w:t>8</w:t>
            </w:r>
          </w:p>
        </w:tc>
      </w:tr>
      <w:tr w:rsidR="00306973" w14:paraId="17F44CA8" w14:textId="77777777" w:rsidTr="003325D0">
        <w:trPr>
          <w:trHeight w:val="79"/>
          <w:jc w:val="center"/>
        </w:trPr>
        <w:tc>
          <w:tcPr>
            <w:tcW w:w="9630" w:type="dxa"/>
            <w:gridSpan w:val="3"/>
            <w:tcBorders>
              <w:left w:val="nil"/>
              <w:bottom w:val="single" w:sz="12" w:space="0" w:color="8496B0" w:themeColor="text2" w:themeTint="99"/>
              <w:right w:val="nil"/>
            </w:tcBorders>
          </w:tcPr>
          <w:p w14:paraId="754FF844" w14:textId="77777777" w:rsidR="00306973" w:rsidRPr="00D27CF3" w:rsidRDefault="00306973" w:rsidP="00855C71">
            <w:pPr>
              <w:rPr>
                <w:rFonts w:eastAsia="Times New Roman" w:cstheme="minorHAnsi"/>
                <w:sz w:val="8"/>
                <w:szCs w:val="8"/>
              </w:rPr>
            </w:pPr>
          </w:p>
        </w:tc>
      </w:tr>
      <w:tr w:rsidR="00306973" w14:paraId="7550A16E" w14:textId="77777777" w:rsidTr="003325D0">
        <w:trPr>
          <w:trHeight w:val="285"/>
          <w:jc w:val="center"/>
        </w:trPr>
        <w:tc>
          <w:tcPr>
            <w:tcW w:w="9630" w:type="dxa"/>
            <w:gridSpan w:val="3"/>
            <w:tcBorders>
              <w:bottom w:val="nil"/>
            </w:tcBorders>
            <w:shd w:val="clear" w:color="auto" w:fill="D9E2F3" w:themeFill="accent1" w:themeFillTint="33"/>
          </w:tcPr>
          <w:p w14:paraId="122D7791" w14:textId="77777777" w:rsidR="00306973" w:rsidRPr="00D27CF3" w:rsidRDefault="00306973"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306973" w14:paraId="20ADC484" w14:textId="77777777" w:rsidTr="003325D0">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314DFC29"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317411491"/>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p w14:paraId="17CF8CD6"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855339034"/>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105A9C5A" w14:textId="77777777" w:rsidR="00306973" w:rsidRPr="00D27CF3" w:rsidRDefault="00306973"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7F2CDB6B"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097274930"/>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 incl. Risk Spend Efficiency</w:t>
            </w:r>
          </w:p>
          <w:p w14:paraId="76EA96F2" w14:textId="77777777" w:rsidR="00306973"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1409427526"/>
                <w14:checkbox>
                  <w14:checked w14:val="0"/>
                  <w14:checkedState w14:val="2612" w14:font="MS Gothic"/>
                  <w14:uncheckedState w14:val="2610" w14:font="MS Gothic"/>
                </w14:checkbox>
              </w:sdtPr>
              <w:sdtEndPr/>
              <w:sdtContent>
                <w:r w:rsidR="00306973" w:rsidRPr="00D27CF3">
                  <w:rPr>
                    <w:rFonts w:ascii="MS Gothic" w:eastAsia="MS Gothic" w:hAnsi="MS Gothic" w:cs="Segoe UI Symbol" w:hint="eastAsia"/>
                    <w:sz w:val="20"/>
                    <w:szCs w:val="20"/>
                  </w:rPr>
                  <w:t>☐</w:t>
                </w:r>
              </w:sdtContent>
            </w:sdt>
            <w:r w:rsidR="00306973" w:rsidRPr="00D27CF3">
              <w:rPr>
                <w:rFonts w:ascii="Garamond" w:eastAsia="Times New Roman" w:hAnsi="Garamond"/>
                <w:sz w:val="20"/>
                <w:szCs w:val="20"/>
              </w:rPr>
              <w:t xml:space="preserve"> Communication with the community, planning, preparedness and recovery after PSPS events</w:t>
            </w:r>
          </w:p>
        </w:tc>
      </w:tr>
      <w:tr w:rsidR="00306973" w14:paraId="79C438CC" w14:textId="77777777" w:rsidTr="003325D0">
        <w:trPr>
          <w:trHeight w:val="43"/>
          <w:jc w:val="center"/>
        </w:trPr>
        <w:tc>
          <w:tcPr>
            <w:tcW w:w="9630" w:type="dxa"/>
            <w:gridSpan w:val="3"/>
            <w:tcBorders>
              <w:left w:val="nil"/>
              <w:bottom w:val="single" w:sz="12" w:space="0" w:color="8496B0" w:themeColor="text2" w:themeTint="99"/>
              <w:right w:val="nil"/>
            </w:tcBorders>
          </w:tcPr>
          <w:p w14:paraId="4558C682" w14:textId="77777777" w:rsidR="00306973" w:rsidRPr="00D27CF3" w:rsidRDefault="00306973" w:rsidP="00855C71">
            <w:pPr>
              <w:spacing w:line="276" w:lineRule="auto"/>
              <w:rPr>
                <w:rFonts w:eastAsia="Times New Roman" w:cstheme="minorHAnsi"/>
                <w:sz w:val="8"/>
                <w:szCs w:val="8"/>
              </w:rPr>
            </w:pPr>
          </w:p>
        </w:tc>
      </w:tr>
      <w:tr w:rsidR="00306973" w14:paraId="31711747" w14:textId="77777777" w:rsidTr="003325D0">
        <w:trPr>
          <w:trHeight w:val="43"/>
          <w:jc w:val="center"/>
        </w:trPr>
        <w:tc>
          <w:tcPr>
            <w:tcW w:w="9630" w:type="dxa"/>
            <w:gridSpan w:val="3"/>
            <w:tcBorders>
              <w:bottom w:val="nil"/>
            </w:tcBorders>
            <w:shd w:val="clear" w:color="auto" w:fill="D9E2F3" w:themeFill="accent1" w:themeFillTint="33"/>
          </w:tcPr>
          <w:p w14:paraId="77C3E690" w14:textId="77777777" w:rsidR="00306973" w:rsidRPr="007C7BDA" w:rsidRDefault="00306973"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306973" w14:paraId="4D676FB7" w14:textId="77777777" w:rsidTr="003325D0">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5A96C719"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436017007"/>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Risk assessment and mapping</w:t>
            </w:r>
          </w:p>
          <w:p w14:paraId="6560EEC9"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826048629"/>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Situational awareness and forecasting</w:t>
            </w:r>
          </w:p>
          <w:p w14:paraId="52B573A7"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524357284"/>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1622B752"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098938284"/>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Asset management and inspections</w:t>
            </w:r>
          </w:p>
          <w:p w14:paraId="4CDF7C9C"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79387805"/>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34BC52E0"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467043524"/>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operations and protocols</w:t>
            </w:r>
          </w:p>
          <w:p w14:paraId="37C42BEC"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449621341"/>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Data governance</w:t>
            </w:r>
          </w:p>
          <w:p w14:paraId="7BD5E0AF"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047421878"/>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w:t>
            </w:r>
          </w:p>
          <w:p w14:paraId="5719A59D"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484688538"/>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Emergency planning and preparedness</w:t>
            </w:r>
          </w:p>
          <w:p w14:paraId="0DF3649C" w14:textId="77777777" w:rsidR="00306973" w:rsidRPr="009D23C5" w:rsidRDefault="00E20D41" w:rsidP="00C115EF">
            <w:pPr>
              <w:spacing w:before="60" w:line="276" w:lineRule="auto"/>
              <w:ind w:left="360"/>
              <w:rPr>
                <w:rFonts w:ascii="Garamond" w:hAnsi="Garamond"/>
                <w:b/>
                <w:bCs/>
                <w:sz w:val="20"/>
                <w:szCs w:val="20"/>
              </w:rPr>
            </w:pPr>
            <w:sdt>
              <w:sdtPr>
                <w:rPr>
                  <w:rFonts w:ascii="Garamond" w:eastAsia="Times New Roman" w:hAnsi="Garamond"/>
                  <w:sz w:val="20"/>
                  <w:szCs w:val="20"/>
                </w:rPr>
                <w:id w:val="1990746216"/>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Stakeholder cooperation and community engagement</w:t>
            </w:r>
          </w:p>
        </w:tc>
      </w:tr>
      <w:tr w:rsidR="00306973" w14:paraId="680B27AA" w14:textId="77777777" w:rsidTr="003325D0">
        <w:trPr>
          <w:trHeight w:val="51"/>
          <w:jc w:val="center"/>
        </w:trPr>
        <w:tc>
          <w:tcPr>
            <w:tcW w:w="9630" w:type="dxa"/>
            <w:gridSpan w:val="3"/>
            <w:tcBorders>
              <w:left w:val="nil"/>
              <w:right w:val="nil"/>
            </w:tcBorders>
          </w:tcPr>
          <w:p w14:paraId="14359E6B" w14:textId="77777777" w:rsidR="00306973" w:rsidRPr="007D218D" w:rsidRDefault="00306973" w:rsidP="00855C71">
            <w:pPr>
              <w:rPr>
                <w:rFonts w:cstheme="minorHAnsi"/>
                <w:sz w:val="8"/>
                <w:szCs w:val="8"/>
              </w:rPr>
            </w:pPr>
          </w:p>
        </w:tc>
      </w:tr>
      <w:tr w:rsidR="00306973" w14:paraId="31DC97FE" w14:textId="77777777" w:rsidTr="003325D0">
        <w:trPr>
          <w:trHeight w:val="489"/>
          <w:jc w:val="center"/>
        </w:trPr>
        <w:tc>
          <w:tcPr>
            <w:tcW w:w="9630" w:type="dxa"/>
            <w:gridSpan w:val="3"/>
            <w:shd w:val="clear" w:color="auto" w:fill="D9E2F3" w:themeFill="accent1" w:themeFillTint="33"/>
          </w:tcPr>
          <w:p w14:paraId="0EFD98D3" w14:textId="17FB6903" w:rsidR="00306973" w:rsidRPr="00D95954" w:rsidRDefault="00306973"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57" behindDoc="0" locked="0" layoutInCell="1" allowOverlap="1" wp14:anchorId="2E95EC13" wp14:editId="488E6500">
                  <wp:simplePos x="0" y="0"/>
                  <wp:positionH relativeFrom="leftMargin">
                    <wp:posOffset>59690</wp:posOffset>
                  </wp:positionH>
                  <wp:positionV relativeFrom="paragraph">
                    <wp:posOffset>37677</wp:posOffset>
                  </wp:positionV>
                  <wp:extent cx="245534" cy="194627"/>
                  <wp:effectExtent l="0" t="0" r="0" b="0"/>
                  <wp:wrapNone/>
                  <wp:docPr id="52" name="Graphic 52"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1018156317"/>
                <w14:checkbox>
                  <w14:checked w14:val="1"/>
                  <w14:checkedState w14:val="2612" w14:font="MS Gothic"/>
                  <w14:uncheckedState w14:val="2610" w14:font="MS Gothic"/>
                </w14:checkbox>
              </w:sdtPr>
              <w:sdtEndPr/>
              <w:sdtContent>
                <w:r w:rsidR="00722FAA">
                  <w:rPr>
                    <w:rFonts w:ascii="MS Gothic" w:eastAsia="MS Gothic" w:hAnsi="MS Gothic" w:cs="Segoe UI Symbol" w:hint="eastAsia"/>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189387961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148328163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Mid Term </w:t>
            </w:r>
            <w:r>
              <w:rPr>
                <w:rFonts w:ascii="Garamond" w:hAnsi="Garamond"/>
              </w:rPr>
              <w:t xml:space="preserve">    </w:t>
            </w:r>
            <w:sdt>
              <w:sdtPr>
                <w:rPr>
                  <w:rFonts w:ascii="Garamond" w:hAnsi="Garamond"/>
                </w:rPr>
                <w:id w:val="6737694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tbl>
    <w:p w14:paraId="76BFADBB" w14:textId="77777777" w:rsidR="00306973" w:rsidRDefault="00306973" w:rsidP="00855C71">
      <w:pPr>
        <w:spacing w:after="0"/>
        <w:rPr>
          <w:b/>
          <w:bCs/>
          <w:sz w:val="24"/>
          <w:szCs w:val="24"/>
        </w:rPr>
      </w:pPr>
    </w:p>
    <w:p w14:paraId="3278E38F" w14:textId="77777777" w:rsidR="00306973" w:rsidRDefault="00306973" w:rsidP="00855C71">
      <w:pPr>
        <w:rPr>
          <w:rFonts w:ascii="Century Gothic" w:hAnsi="Century Gothic"/>
        </w:rPr>
      </w:pPr>
      <w:r>
        <w:rPr>
          <w:rFonts w:ascii="Century Gothic" w:hAnsi="Century Gothic"/>
        </w:rPr>
        <w:t>Issue/Metric:</w:t>
      </w:r>
    </w:p>
    <w:p w14:paraId="62BEABE8" w14:textId="79F26E46" w:rsidR="00306973" w:rsidRPr="00A97C87" w:rsidRDefault="0002343A" w:rsidP="00C115EF">
      <w:pPr>
        <w:pStyle w:val="ListParagraph"/>
        <w:numPr>
          <w:ilvl w:val="0"/>
          <w:numId w:val="19"/>
        </w:numPr>
        <w:spacing w:after="0"/>
        <w:contextualSpacing w:val="0"/>
        <w:rPr>
          <w:rFonts w:ascii="Garamond" w:hAnsi="Garamond"/>
          <w:sz w:val="24"/>
          <w:szCs w:val="24"/>
        </w:rPr>
      </w:pPr>
      <w:r>
        <w:rPr>
          <w:rFonts w:ascii="Garamond" w:hAnsi="Garamond"/>
          <w:sz w:val="24"/>
          <w:szCs w:val="24"/>
        </w:rPr>
        <w:t>Criteria f</w:t>
      </w:r>
      <w:r w:rsidR="00F1401C">
        <w:rPr>
          <w:rFonts w:ascii="Garamond" w:hAnsi="Garamond"/>
          <w:sz w:val="24"/>
          <w:szCs w:val="24"/>
        </w:rPr>
        <w:t xml:space="preserve">or </w:t>
      </w:r>
      <w:r w:rsidR="00BA4290">
        <w:rPr>
          <w:rFonts w:ascii="Garamond" w:hAnsi="Garamond"/>
          <w:sz w:val="24"/>
          <w:szCs w:val="24"/>
        </w:rPr>
        <w:t>g</w:t>
      </w:r>
      <w:r w:rsidR="00306973" w:rsidRPr="00A97C87">
        <w:rPr>
          <w:rFonts w:ascii="Garamond" w:hAnsi="Garamond"/>
          <w:sz w:val="24"/>
          <w:szCs w:val="24"/>
        </w:rPr>
        <w:t>rid design and</w:t>
      </w:r>
      <w:r w:rsidR="00BA4290">
        <w:rPr>
          <w:rFonts w:ascii="Garamond" w:hAnsi="Garamond"/>
          <w:sz w:val="24"/>
          <w:szCs w:val="24"/>
        </w:rPr>
        <w:t xml:space="preserve"> system</w:t>
      </w:r>
      <w:r w:rsidR="00306973" w:rsidRPr="00A97C87">
        <w:rPr>
          <w:rFonts w:ascii="Garamond" w:hAnsi="Garamond"/>
          <w:sz w:val="24"/>
          <w:szCs w:val="24"/>
        </w:rPr>
        <w:t xml:space="preserve"> hardening measures </w:t>
      </w:r>
      <w:r w:rsidR="0004523F">
        <w:rPr>
          <w:rFonts w:ascii="Garamond" w:hAnsi="Garamond"/>
          <w:sz w:val="24"/>
          <w:szCs w:val="24"/>
        </w:rPr>
        <w:t xml:space="preserve">designed to </w:t>
      </w:r>
      <w:r w:rsidR="00306973" w:rsidRPr="00A97C87">
        <w:rPr>
          <w:rFonts w:ascii="Garamond" w:hAnsi="Garamond"/>
          <w:sz w:val="24"/>
          <w:szCs w:val="24"/>
        </w:rPr>
        <w:t>exclude line sections from Public Safety Power Shutoffs (PSPS</w:t>
      </w:r>
      <w:r w:rsidR="0004523F">
        <w:rPr>
          <w:rFonts w:ascii="Garamond" w:hAnsi="Garamond"/>
          <w:sz w:val="24"/>
          <w:szCs w:val="24"/>
        </w:rPr>
        <w:t>)</w:t>
      </w:r>
      <w:r w:rsidR="00BA4290">
        <w:rPr>
          <w:rFonts w:ascii="Garamond" w:hAnsi="Garamond"/>
          <w:sz w:val="24"/>
          <w:szCs w:val="24"/>
        </w:rPr>
        <w:t>.</w:t>
      </w:r>
    </w:p>
    <w:p w14:paraId="47D5BDA5" w14:textId="77777777" w:rsidR="00306973" w:rsidRDefault="00306973" w:rsidP="00C115EF">
      <w:pPr>
        <w:spacing w:after="0" w:line="276" w:lineRule="auto"/>
        <w:rPr>
          <w:rFonts w:ascii="Century Gothic" w:hAnsi="Century Gothic"/>
        </w:rPr>
      </w:pPr>
    </w:p>
    <w:p w14:paraId="6DD93F07" w14:textId="7AB8CA1B" w:rsidR="00306973" w:rsidRPr="0029754B" w:rsidRDefault="00306973" w:rsidP="00C115EF">
      <w:pPr>
        <w:rPr>
          <w:rFonts w:ascii="Century Gothic" w:hAnsi="Century Gothic"/>
        </w:rPr>
      </w:pPr>
      <w:bookmarkStart w:id="17" w:name="_Hlk34913217"/>
      <w:r w:rsidRPr="0029754B">
        <w:rPr>
          <w:rFonts w:ascii="Century Gothic" w:hAnsi="Century Gothic"/>
        </w:rPr>
        <w:t>Current WMP Requirement</w:t>
      </w:r>
      <w:r w:rsidR="000165F8">
        <w:rPr>
          <w:rFonts w:ascii="Century Gothic" w:hAnsi="Century Gothic"/>
        </w:rPr>
        <w:t>s</w:t>
      </w:r>
      <w:r w:rsidRPr="0029754B">
        <w:rPr>
          <w:rFonts w:ascii="Century Gothic" w:hAnsi="Century Gothic"/>
        </w:rPr>
        <w:t>:</w:t>
      </w:r>
    </w:p>
    <w:bookmarkEnd w:id="17"/>
    <w:p w14:paraId="4253D273" w14:textId="2F6894FC" w:rsidR="00B13A6E" w:rsidRPr="00B13A6E" w:rsidRDefault="00306973" w:rsidP="00C115EF">
      <w:pPr>
        <w:pStyle w:val="ListParagraph"/>
        <w:numPr>
          <w:ilvl w:val="0"/>
          <w:numId w:val="19"/>
        </w:numPr>
        <w:spacing w:after="0"/>
        <w:contextualSpacing w:val="0"/>
        <w:rPr>
          <w:rFonts w:ascii="Garamond" w:hAnsi="Garamond"/>
          <w:sz w:val="24"/>
          <w:szCs w:val="24"/>
        </w:rPr>
      </w:pPr>
      <w:r>
        <w:rPr>
          <w:rFonts w:ascii="Garamond" w:hAnsi="Garamond"/>
          <w:sz w:val="24"/>
          <w:szCs w:val="24"/>
        </w:rPr>
        <w:t xml:space="preserve">Section 5.3.8. of the </w:t>
      </w:r>
      <w:r w:rsidR="00C03CFB">
        <w:rPr>
          <w:rFonts w:ascii="Garamond" w:hAnsi="Garamond"/>
          <w:sz w:val="24"/>
          <w:szCs w:val="24"/>
        </w:rPr>
        <w:t xml:space="preserve">2020 </w:t>
      </w:r>
      <w:r>
        <w:rPr>
          <w:rFonts w:ascii="Garamond" w:hAnsi="Garamond"/>
          <w:sz w:val="24"/>
          <w:szCs w:val="24"/>
        </w:rPr>
        <w:t>WMP Guidelines on resource allocation requires the utilities to</w:t>
      </w:r>
      <w:r w:rsidRPr="00EE33EB">
        <w:rPr>
          <w:rFonts w:ascii="Garamond" w:hAnsi="Garamond"/>
          <w:sz w:val="24"/>
          <w:szCs w:val="24"/>
        </w:rPr>
        <w:t xml:space="preserve"> describe each </w:t>
      </w:r>
      <w:r>
        <w:rPr>
          <w:rFonts w:ascii="Garamond" w:hAnsi="Garamond"/>
          <w:sz w:val="24"/>
          <w:szCs w:val="24"/>
        </w:rPr>
        <w:t>utility’s</w:t>
      </w:r>
      <w:r w:rsidRPr="00EE33EB">
        <w:rPr>
          <w:rFonts w:ascii="Garamond" w:hAnsi="Garamond"/>
          <w:sz w:val="24"/>
          <w:szCs w:val="24"/>
        </w:rPr>
        <w:t xml:space="preserve"> initiatives to minimize the risk of its equipment or facilities causing wildfires, including (1) Allocation methodology development and application, (2) Risk reduction scenario development and analysis, (3) Risk spend efficiency analysis, and (4) Any other initiatives that do not fall within those categories.</w:t>
      </w:r>
      <w:r>
        <w:rPr>
          <w:rStyle w:val="FootnoteReference"/>
          <w:rFonts w:ascii="Garamond" w:hAnsi="Garamond"/>
          <w:sz w:val="24"/>
          <w:szCs w:val="24"/>
        </w:rPr>
        <w:footnoteReference w:id="23"/>
      </w:r>
      <w:r w:rsidRPr="00EE33EB">
        <w:rPr>
          <w:rFonts w:ascii="Garamond" w:hAnsi="Garamond"/>
          <w:sz w:val="24"/>
          <w:szCs w:val="24"/>
        </w:rPr>
        <w:t xml:space="preserve">  </w:t>
      </w:r>
    </w:p>
    <w:p w14:paraId="03FF50B4" w14:textId="77777777" w:rsidR="007B55FF" w:rsidRPr="007B55FF" w:rsidRDefault="007B55FF" w:rsidP="00C115EF">
      <w:pPr>
        <w:spacing w:after="0"/>
        <w:rPr>
          <w:rFonts w:ascii="Garamond" w:hAnsi="Garamond"/>
          <w:sz w:val="24"/>
          <w:szCs w:val="24"/>
        </w:rPr>
      </w:pPr>
    </w:p>
    <w:p w14:paraId="24BD56A1" w14:textId="1E2E5EBA" w:rsidR="004859D5" w:rsidRPr="004859D5" w:rsidRDefault="00EA3364" w:rsidP="00C115EF">
      <w:pPr>
        <w:rPr>
          <w:rFonts w:ascii="Century Gothic" w:hAnsi="Century Gothic"/>
        </w:rPr>
      </w:pPr>
      <w:r>
        <w:rPr>
          <w:rFonts w:ascii="Century Gothic" w:hAnsi="Century Gothic"/>
        </w:rPr>
        <w:t xml:space="preserve">Board </w:t>
      </w:r>
      <w:r w:rsidR="00306973" w:rsidRPr="0029754B">
        <w:rPr>
          <w:rFonts w:ascii="Century Gothic" w:hAnsi="Century Gothic"/>
        </w:rPr>
        <w:t>Recommendation</w:t>
      </w:r>
      <w:r w:rsidR="000165F8">
        <w:rPr>
          <w:rFonts w:ascii="Century Gothic" w:hAnsi="Century Gothic"/>
        </w:rPr>
        <w:t>s</w:t>
      </w:r>
      <w:r w:rsidR="00306973" w:rsidRPr="0029754B">
        <w:rPr>
          <w:rFonts w:ascii="Century Gothic" w:hAnsi="Century Gothic"/>
        </w:rPr>
        <w:t xml:space="preserve">: </w:t>
      </w:r>
    </w:p>
    <w:p w14:paraId="4968DD1F" w14:textId="42769A10" w:rsidR="00EA218F" w:rsidRPr="00253AD6" w:rsidRDefault="00E873CE"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 xml:space="preserve">In its review, the </w:t>
      </w:r>
      <w:r w:rsidR="006128FC" w:rsidRPr="00D27CF3">
        <w:rPr>
          <w:rFonts w:ascii="Garamond" w:eastAsia="Times New Roman" w:hAnsi="Garamond"/>
          <w:sz w:val="24"/>
          <w:szCs w:val="24"/>
        </w:rPr>
        <w:t xml:space="preserve">Wildfire Safety Division </w:t>
      </w:r>
      <w:r w:rsidRPr="00D27CF3">
        <w:rPr>
          <w:rFonts w:ascii="Garamond" w:eastAsia="Times New Roman" w:hAnsi="Garamond"/>
          <w:sz w:val="24"/>
          <w:szCs w:val="24"/>
        </w:rPr>
        <w:t xml:space="preserve">should </w:t>
      </w:r>
      <w:r w:rsidR="006128FC" w:rsidRPr="00D27CF3">
        <w:rPr>
          <w:rFonts w:ascii="Garamond" w:eastAsia="Times New Roman" w:hAnsi="Garamond"/>
          <w:sz w:val="24"/>
          <w:szCs w:val="24"/>
        </w:rPr>
        <w:t xml:space="preserve">consider </w:t>
      </w:r>
      <w:r w:rsidR="005B3937">
        <w:rPr>
          <w:rFonts w:ascii="Garamond" w:eastAsia="Times New Roman" w:hAnsi="Garamond"/>
          <w:sz w:val="24"/>
          <w:szCs w:val="24"/>
        </w:rPr>
        <w:t>how</w:t>
      </w:r>
      <w:r w:rsidR="005B3937" w:rsidRPr="00D27CF3">
        <w:rPr>
          <w:rFonts w:ascii="Garamond" w:eastAsia="Times New Roman" w:hAnsi="Garamond"/>
          <w:sz w:val="24"/>
          <w:szCs w:val="24"/>
        </w:rPr>
        <w:t xml:space="preserve"> </w:t>
      </w:r>
      <w:r w:rsidR="00306973" w:rsidRPr="00D27CF3">
        <w:rPr>
          <w:rFonts w:ascii="Garamond" w:eastAsia="Times New Roman" w:hAnsi="Garamond"/>
          <w:sz w:val="24"/>
          <w:szCs w:val="24"/>
        </w:rPr>
        <w:t xml:space="preserve">the utilities are prioritizing </w:t>
      </w:r>
      <w:r w:rsidR="00722FAA">
        <w:rPr>
          <w:rFonts w:ascii="Garamond" w:eastAsia="Times New Roman" w:hAnsi="Garamond"/>
          <w:sz w:val="24"/>
          <w:szCs w:val="24"/>
        </w:rPr>
        <w:t xml:space="preserve">and expediting </w:t>
      </w:r>
      <w:r w:rsidR="00306973" w:rsidRPr="00D27CF3">
        <w:rPr>
          <w:rFonts w:ascii="Garamond" w:eastAsia="Times New Roman" w:hAnsi="Garamond"/>
          <w:sz w:val="24"/>
          <w:szCs w:val="24"/>
        </w:rPr>
        <w:t xml:space="preserve">excluding certain </w:t>
      </w:r>
      <w:r w:rsidR="00722FAA">
        <w:rPr>
          <w:rFonts w:ascii="Garamond" w:eastAsia="Times New Roman" w:hAnsi="Garamond"/>
          <w:sz w:val="24"/>
          <w:szCs w:val="24"/>
        </w:rPr>
        <w:t>line segments, in timing and geography,</w:t>
      </w:r>
      <w:r w:rsidR="00722FAA" w:rsidRPr="00D27CF3">
        <w:rPr>
          <w:rFonts w:ascii="Garamond" w:eastAsia="Times New Roman" w:hAnsi="Garamond"/>
          <w:sz w:val="24"/>
          <w:szCs w:val="24"/>
        </w:rPr>
        <w:t xml:space="preserve"> </w:t>
      </w:r>
      <w:r w:rsidR="00306973" w:rsidRPr="00D27CF3">
        <w:rPr>
          <w:rFonts w:ascii="Garamond" w:eastAsia="Times New Roman" w:hAnsi="Garamond"/>
          <w:sz w:val="24"/>
          <w:szCs w:val="24"/>
        </w:rPr>
        <w:t xml:space="preserve">from </w:t>
      </w:r>
      <w:r w:rsidR="00722FAA">
        <w:rPr>
          <w:rFonts w:ascii="Garamond" w:eastAsia="Times New Roman" w:hAnsi="Garamond"/>
          <w:sz w:val="24"/>
          <w:szCs w:val="24"/>
        </w:rPr>
        <w:t>future</w:t>
      </w:r>
      <w:r w:rsidR="00306973" w:rsidRPr="00D27CF3">
        <w:rPr>
          <w:rFonts w:ascii="Garamond" w:eastAsia="Times New Roman" w:hAnsi="Garamond"/>
          <w:sz w:val="24"/>
          <w:szCs w:val="24"/>
        </w:rPr>
        <w:t xml:space="preserve"> PSPS events</w:t>
      </w:r>
      <w:r w:rsidR="00EA218F">
        <w:rPr>
          <w:rFonts w:ascii="Garamond" w:eastAsia="Times New Roman" w:hAnsi="Garamond"/>
          <w:sz w:val="24"/>
          <w:szCs w:val="24"/>
        </w:rPr>
        <w:t xml:space="preserve">. </w:t>
      </w:r>
      <w:r w:rsidR="00EA218F" w:rsidRPr="00D27CF3">
        <w:rPr>
          <w:rFonts w:ascii="Garamond" w:eastAsia="Times New Roman" w:hAnsi="Garamond"/>
          <w:sz w:val="24"/>
          <w:szCs w:val="24"/>
        </w:rPr>
        <w:t>The Wildfire Safety Division</w:t>
      </w:r>
      <w:r w:rsidR="00EA218F">
        <w:rPr>
          <w:rFonts w:ascii="Garamond" w:eastAsia="Times New Roman" w:hAnsi="Garamond"/>
          <w:sz w:val="24"/>
          <w:szCs w:val="24"/>
        </w:rPr>
        <w:t xml:space="preserve"> c</w:t>
      </w:r>
      <w:r w:rsidR="00EA218F" w:rsidRPr="00D27CF3">
        <w:rPr>
          <w:rFonts w:ascii="Garamond" w:eastAsia="Times New Roman" w:hAnsi="Garamond"/>
          <w:sz w:val="24"/>
          <w:szCs w:val="24"/>
        </w:rPr>
        <w:t xml:space="preserve">ould consider </w:t>
      </w:r>
      <w:r w:rsidR="00EA218F">
        <w:rPr>
          <w:rFonts w:ascii="Garamond" w:eastAsia="Times New Roman" w:hAnsi="Garamond"/>
          <w:sz w:val="24"/>
          <w:szCs w:val="24"/>
        </w:rPr>
        <w:t xml:space="preserve">requiring the utilities </w:t>
      </w:r>
      <w:r w:rsidR="00EA218F">
        <w:rPr>
          <w:rFonts w:ascii="Garamond" w:hAnsi="Garamond"/>
          <w:sz w:val="24"/>
          <w:szCs w:val="24"/>
        </w:rPr>
        <w:t xml:space="preserve">to expedite the development </w:t>
      </w:r>
      <w:r w:rsidR="00EA218F" w:rsidRPr="00E23364">
        <w:rPr>
          <w:rFonts w:ascii="Garamond" w:hAnsi="Garamond"/>
          <w:sz w:val="24"/>
          <w:szCs w:val="24"/>
        </w:rPr>
        <w:t xml:space="preserve">of </w:t>
      </w:r>
      <w:r w:rsidR="00EA218F" w:rsidRPr="00253AD6">
        <w:rPr>
          <w:rFonts w:ascii="Garamond" w:hAnsi="Garamond"/>
          <w:sz w:val="24"/>
          <w:szCs w:val="24"/>
        </w:rPr>
        <w:t>“Grid Hardening Operating Criteria”</w:t>
      </w:r>
      <w:r w:rsidR="00310AB1" w:rsidRPr="00253AD6">
        <w:rPr>
          <w:rStyle w:val="FootnoteReference"/>
          <w:rFonts w:ascii="Garamond" w:hAnsi="Garamond"/>
          <w:sz w:val="24"/>
          <w:szCs w:val="24"/>
        </w:rPr>
        <w:footnoteReference w:id="24"/>
      </w:r>
      <w:r w:rsidR="00310AB1" w:rsidRPr="00253AD6" w:rsidDel="00310AB1">
        <w:rPr>
          <w:rStyle w:val="CommentReference"/>
        </w:rPr>
        <w:t xml:space="preserve"> </w:t>
      </w:r>
      <w:r w:rsidR="00EA218F" w:rsidRPr="00253AD6">
        <w:rPr>
          <w:rFonts w:ascii="Garamond" w:hAnsi="Garamond"/>
          <w:sz w:val="24"/>
          <w:szCs w:val="24"/>
        </w:rPr>
        <w:t xml:space="preserve"> to evaluate each circuit within a distribution or transmission line with the goal of reducing PSPS events for certain circuits as part of the safety certificate process.</w:t>
      </w:r>
      <w:r w:rsidR="00EA218F" w:rsidRPr="00253AD6">
        <w:rPr>
          <w:rStyle w:val="FootnoteReference"/>
          <w:rFonts w:ascii="Garamond" w:hAnsi="Garamond"/>
          <w:sz w:val="24"/>
          <w:szCs w:val="24"/>
        </w:rPr>
        <w:t xml:space="preserve"> </w:t>
      </w:r>
    </w:p>
    <w:p w14:paraId="449FB161" w14:textId="77777777" w:rsidR="00E449B4" w:rsidRPr="00253AD6" w:rsidRDefault="00E449B4" w:rsidP="00E23364">
      <w:pPr>
        <w:rPr>
          <w:rFonts w:ascii="Century Gothic" w:eastAsia="Times New Roman" w:hAnsi="Century Gothic"/>
        </w:rPr>
      </w:pPr>
    </w:p>
    <w:p w14:paraId="46337F0D" w14:textId="42C2C22B" w:rsidR="00306973" w:rsidRPr="00253AD6" w:rsidRDefault="00785175" w:rsidP="00E23364">
      <w:pPr>
        <w:rPr>
          <w:rFonts w:ascii="Garamond" w:eastAsia="Times New Roman" w:hAnsi="Garamond"/>
          <w:sz w:val="24"/>
          <w:szCs w:val="24"/>
        </w:rPr>
      </w:pPr>
      <w:r w:rsidRPr="00253AD6">
        <w:rPr>
          <w:rFonts w:ascii="Century Gothic" w:eastAsia="Times New Roman" w:hAnsi="Century Gothic"/>
        </w:rPr>
        <w:t>Observations</w:t>
      </w:r>
      <w:r w:rsidR="00306973" w:rsidRPr="00253AD6">
        <w:rPr>
          <w:rFonts w:ascii="Century Gothic" w:eastAsia="Times New Roman" w:hAnsi="Century Gothic"/>
        </w:rPr>
        <w:t>:</w:t>
      </w:r>
    </w:p>
    <w:p w14:paraId="3B253923" w14:textId="49A83FF7" w:rsidR="00F96DFD" w:rsidRPr="009B62AA" w:rsidRDefault="00AE2FEF" w:rsidP="00C115EF">
      <w:pPr>
        <w:pStyle w:val="ListParagraph"/>
        <w:numPr>
          <w:ilvl w:val="0"/>
          <w:numId w:val="32"/>
        </w:numPr>
        <w:tabs>
          <w:tab w:val="left" w:pos="1080"/>
        </w:tabs>
        <w:contextualSpacing w:val="0"/>
        <w:rPr>
          <w:rFonts w:ascii="Garamond" w:eastAsia="Times New Roman" w:hAnsi="Garamond"/>
          <w:color w:val="FF0000"/>
          <w:sz w:val="24"/>
          <w:szCs w:val="24"/>
        </w:rPr>
      </w:pPr>
      <w:r w:rsidRPr="00253AD6">
        <w:rPr>
          <w:rFonts w:ascii="Garamond" w:eastAsia="Times New Roman" w:hAnsi="Garamond"/>
          <w:sz w:val="24"/>
          <w:szCs w:val="24"/>
        </w:rPr>
        <w:t>R</w:t>
      </w:r>
      <w:r w:rsidR="007B5904" w:rsidRPr="00253AD6">
        <w:rPr>
          <w:rFonts w:ascii="Garamond" w:eastAsia="Times New Roman" w:hAnsi="Garamond"/>
          <w:sz w:val="24"/>
          <w:szCs w:val="24"/>
        </w:rPr>
        <w:t xml:space="preserve">isk assessments and resource allocation analyses the utilities are performing </w:t>
      </w:r>
      <w:r w:rsidRPr="00253AD6">
        <w:rPr>
          <w:rFonts w:ascii="Garamond" w:eastAsia="Times New Roman" w:hAnsi="Garamond"/>
          <w:sz w:val="24"/>
          <w:szCs w:val="24"/>
        </w:rPr>
        <w:t xml:space="preserve">should </w:t>
      </w:r>
      <w:r w:rsidR="007B5904" w:rsidRPr="00253AD6">
        <w:rPr>
          <w:rFonts w:ascii="Garamond" w:eastAsia="Times New Roman" w:hAnsi="Garamond"/>
          <w:sz w:val="24"/>
          <w:szCs w:val="24"/>
        </w:rPr>
        <w:t xml:space="preserve">promote the goal of reducing the number and duration of PSPS events for critical infrastructure, customers </w:t>
      </w:r>
      <w:r w:rsidR="007B5904" w:rsidRPr="00D27CF3">
        <w:rPr>
          <w:rFonts w:ascii="Garamond" w:eastAsia="Times New Roman" w:hAnsi="Garamond"/>
          <w:sz w:val="24"/>
          <w:szCs w:val="24"/>
        </w:rPr>
        <w:t xml:space="preserve">who have experienced numerous events, and line sections that serve the maximum number of customers.  </w:t>
      </w:r>
      <w:r w:rsidR="00EA218F">
        <w:rPr>
          <w:rFonts w:ascii="Garamond" w:eastAsia="Times New Roman" w:hAnsi="Garamond"/>
          <w:sz w:val="24"/>
          <w:szCs w:val="24"/>
        </w:rPr>
        <w:t>R</w:t>
      </w:r>
      <w:r w:rsidR="00EA218F" w:rsidRPr="00D27CF3">
        <w:rPr>
          <w:rFonts w:ascii="Garamond" w:eastAsia="Times New Roman" w:hAnsi="Garamond"/>
          <w:sz w:val="24"/>
          <w:szCs w:val="24"/>
        </w:rPr>
        <w:t xml:space="preserve">isk assessments and resource allocation analyses performed </w:t>
      </w:r>
      <w:r w:rsidR="00EA218F">
        <w:rPr>
          <w:rFonts w:ascii="Garamond" w:eastAsia="Times New Roman" w:hAnsi="Garamond"/>
          <w:sz w:val="24"/>
          <w:szCs w:val="24"/>
        </w:rPr>
        <w:t xml:space="preserve">should help the utility </w:t>
      </w:r>
      <w:r w:rsidR="00EA218F" w:rsidRPr="00D27CF3">
        <w:rPr>
          <w:rFonts w:ascii="Garamond" w:eastAsia="Times New Roman" w:hAnsi="Garamond"/>
          <w:sz w:val="24"/>
          <w:szCs w:val="24"/>
        </w:rPr>
        <w:t>accomplish this goal.</w:t>
      </w:r>
      <w:r w:rsidR="00EA218F">
        <w:rPr>
          <w:rFonts w:ascii="Garamond" w:eastAsia="Times New Roman" w:hAnsi="Garamond"/>
          <w:sz w:val="24"/>
          <w:szCs w:val="24"/>
        </w:rPr>
        <w:t xml:space="preserve"> </w:t>
      </w:r>
    </w:p>
    <w:p w14:paraId="56AAC91C" w14:textId="2B887B10" w:rsidR="001A058B" w:rsidRPr="009B62AA" w:rsidRDefault="007A0543" w:rsidP="00C115EF">
      <w:pPr>
        <w:pStyle w:val="ListParagraph"/>
        <w:numPr>
          <w:ilvl w:val="0"/>
          <w:numId w:val="32"/>
        </w:numPr>
        <w:tabs>
          <w:tab w:val="left" w:pos="1080"/>
        </w:tabs>
        <w:contextualSpacing w:val="0"/>
        <w:rPr>
          <w:rFonts w:ascii="Garamond" w:eastAsia="Times New Roman" w:hAnsi="Garamond"/>
          <w:color w:val="FF0000"/>
          <w:sz w:val="24"/>
          <w:szCs w:val="24"/>
        </w:rPr>
      </w:pPr>
      <w:r w:rsidRPr="009B62AA">
        <w:rPr>
          <w:rFonts w:ascii="Garamond" w:eastAsia="Times New Roman" w:hAnsi="Garamond"/>
          <w:color w:val="FF0000"/>
          <w:sz w:val="24"/>
          <w:szCs w:val="24"/>
        </w:rPr>
        <w:t xml:space="preserve">We cannot contemplate all possible impacts of COVID-19, but we list a few here.  </w:t>
      </w:r>
      <w:r w:rsidR="00026CCF" w:rsidRPr="009B62AA">
        <w:rPr>
          <w:rFonts w:ascii="Garamond" w:eastAsia="Times New Roman" w:hAnsi="Garamond"/>
          <w:color w:val="FF0000"/>
          <w:sz w:val="24"/>
          <w:szCs w:val="24"/>
        </w:rPr>
        <w:t xml:space="preserve">COVID-19 has changed how we use energy and </w:t>
      </w:r>
      <w:r w:rsidR="0007573A" w:rsidRPr="009B62AA">
        <w:rPr>
          <w:rFonts w:ascii="Garamond" w:eastAsia="Times New Roman" w:hAnsi="Garamond"/>
          <w:color w:val="FF0000"/>
          <w:sz w:val="24"/>
          <w:szCs w:val="24"/>
        </w:rPr>
        <w:t xml:space="preserve">the impact </w:t>
      </w:r>
      <w:r w:rsidR="000903A5" w:rsidRPr="009B62AA">
        <w:rPr>
          <w:rFonts w:ascii="Garamond" w:eastAsia="Times New Roman" w:hAnsi="Garamond"/>
          <w:color w:val="FF0000"/>
          <w:sz w:val="24"/>
          <w:szCs w:val="24"/>
        </w:rPr>
        <w:t>that losing power would have on the lives of Californians</w:t>
      </w:r>
      <w:r w:rsidR="001D5CC4" w:rsidRPr="009B62AA">
        <w:rPr>
          <w:rFonts w:ascii="Garamond" w:eastAsia="Times New Roman" w:hAnsi="Garamond"/>
          <w:color w:val="FF0000"/>
          <w:sz w:val="24"/>
          <w:szCs w:val="24"/>
        </w:rPr>
        <w:t xml:space="preserve"> due to physical or social distancing</w:t>
      </w:r>
      <w:r w:rsidR="000903A5" w:rsidRPr="009B62AA">
        <w:rPr>
          <w:rFonts w:ascii="Garamond" w:eastAsia="Times New Roman" w:hAnsi="Garamond"/>
          <w:color w:val="FF0000"/>
          <w:sz w:val="24"/>
          <w:szCs w:val="24"/>
        </w:rPr>
        <w:t>.</w:t>
      </w:r>
      <w:r w:rsidR="00B75D5F" w:rsidRPr="009B62AA">
        <w:rPr>
          <w:rFonts w:ascii="Garamond" w:eastAsia="Times New Roman" w:hAnsi="Garamond"/>
          <w:color w:val="FF0000"/>
          <w:sz w:val="24"/>
          <w:szCs w:val="24"/>
        </w:rPr>
        <w:t xml:space="preserve">  </w:t>
      </w:r>
      <w:r w:rsidR="00153497" w:rsidRPr="009B62AA">
        <w:rPr>
          <w:rFonts w:ascii="Garamond" w:eastAsia="Times New Roman" w:hAnsi="Garamond"/>
          <w:color w:val="FF0000"/>
          <w:sz w:val="24"/>
          <w:szCs w:val="24"/>
        </w:rPr>
        <w:t xml:space="preserve">So many business activities </w:t>
      </w:r>
      <w:r w:rsidR="000910D1" w:rsidRPr="009B62AA">
        <w:rPr>
          <w:rFonts w:ascii="Garamond" w:eastAsia="Times New Roman" w:hAnsi="Garamond"/>
          <w:color w:val="FF0000"/>
          <w:sz w:val="24"/>
          <w:szCs w:val="24"/>
        </w:rPr>
        <w:t xml:space="preserve">have </w:t>
      </w:r>
      <w:r w:rsidR="00B23803" w:rsidRPr="009B62AA">
        <w:rPr>
          <w:rFonts w:ascii="Garamond" w:eastAsia="Times New Roman" w:hAnsi="Garamond"/>
          <w:color w:val="FF0000"/>
          <w:sz w:val="24"/>
          <w:szCs w:val="24"/>
        </w:rPr>
        <w:t>transferred</w:t>
      </w:r>
      <w:r w:rsidR="00153497" w:rsidRPr="009B62AA">
        <w:rPr>
          <w:rFonts w:ascii="Garamond" w:eastAsia="Times New Roman" w:hAnsi="Garamond"/>
          <w:color w:val="FF0000"/>
          <w:sz w:val="24"/>
          <w:szCs w:val="24"/>
        </w:rPr>
        <w:t xml:space="preserve"> to the home so that PSPS impacts </w:t>
      </w:r>
      <w:r w:rsidR="000910D1" w:rsidRPr="009B62AA">
        <w:rPr>
          <w:rFonts w:ascii="Garamond" w:eastAsia="Times New Roman" w:hAnsi="Garamond"/>
          <w:color w:val="FF0000"/>
          <w:sz w:val="24"/>
          <w:szCs w:val="24"/>
        </w:rPr>
        <w:t xml:space="preserve">would further deteriorate </w:t>
      </w:r>
      <w:r w:rsidR="008B267F" w:rsidRPr="009B62AA">
        <w:rPr>
          <w:rFonts w:ascii="Garamond" w:eastAsia="Times New Roman" w:hAnsi="Garamond"/>
          <w:color w:val="FF0000"/>
          <w:sz w:val="24"/>
          <w:szCs w:val="24"/>
        </w:rPr>
        <w:t>the economy</w:t>
      </w:r>
      <w:r w:rsidR="00002B51" w:rsidRPr="009B62AA">
        <w:rPr>
          <w:rFonts w:ascii="Garamond" w:eastAsia="Times New Roman" w:hAnsi="Garamond"/>
          <w:color w:val="FF0000"/>
          <w:sz w:val="24"/>
          <w:szCs w:val="24"/>
        </w:rPr>
        <w:t xml:space="preserve">. </w:t>
      </w:r>
      <w:r w:rsidR="00085743" w:rsidRPr="009B62AA">
        <w:rPr>
          <w:rFonts w:ascii="Garamond" w:eastAsia="Times New Roman" w:hAnsi="Garamond"/>
          <w:color w:val="FF0000"/>
          <w:sz w:val="24"/>
          <w:szCs w:val="24"/>
        </w:rPr>
        <w:t xml:space="preserve"> </w:t>
      </w:r>
      <w:r w:rsidR="000910D1" w:rsidRPr="009B62AA">
        <w:rPr>
          <w:rFonts w:ascii="Garamond" w:eastAsia="Times New Roman" w:hAnsi="Garamond"/>
          <w:color w:val="FF0000"/>
          <w:sz w:val="24"/>
          <w:szCs w:val="24"/>
        </w:rPr>
        <w:t>Further, d</w:t>
      </w:r>
      <w:r w:rsidR="005168FE" w:rsidRPr="009B62AA">
        <w:rPr>
          <w:rFonts w:ascii="Garamond" w:eastAsia="Times New Roman" w:hAnsi="Garamond"/>
          <w:color w:val="FF0000"/>
          <w:sz w:val="24"/>
          <w:szCs w:val="24"/>
        </w:rPr>
        <w:t xml:space="preserve">uring PSPS events, people </w:t>
      </w:r>
      <w:r w:rsidR="00484A1E" w:rsidRPr="009B62AA">
        <w:rPr>
          <w:rFonts w:ascii="Garamond" w:eastAsia="Times New Roman" w:hAnsi="Garamond"/>
          <w:color w:val="FF0000"/>
          <w:sz w:val="24"/>
          <w:szCs w:val="24"/>
        </w:rPr>
        <w:t xml:space="preserve">cannot rely on </w:t>
      </w:r>
      <w:r w:rsidR="005168FE" w:rsidRPr="009B62AA">
        <w:rPr>
          <w:rFonts w:ascii="Garamond" w:eastAsia="Times New Roman" w:hAnsi="Garamond"/>
          <w:color w:val="FF0000"/>
          <w:sz w:val="24"/>
          <w:szCs w:val="24"/>
        </w:rPr>
        <w:t xml:space="preserve">physical help </w:t>
      </w:r>
      <w:r w:rsidR="00484A1E" w:rsidRPr="009B62AA">
        <w:rPr>
          <w:rFonts w:ascii="Garamond" w:eastAsia="Times New Roman" w:hAnsi="Garamond"/>
          <w:color w:val="FF0000"/>
          <w:sz w:val="24"/>
          <w:szCs w:val="24"/>
        </w:rPr>
        <w:t>from famil</w:t>
      </w:r>
      <w:r w:rsidR="005168FE" w:rsidRPr="009B62AA">
        <w:rPr>
          <w:rFonts w:ascii="Garamond" w:eastAsia="Times New Roman" w:hAnsi="Garamond"/>
          <w:color w:val="FF0000"/>
          <w:sz w:val="24"/>
          <w:szCs w:val="24"/>
        </w:rPr>
        <w:t>y members</w:t>
      </w:r>
      <w:r w:rsidR="00484A1E" w:rsidRPr="009B62AA">
        <w:rPr>
          <w:rFonts w:ascii="Garamond" w:eastAsia="Times New Roman" w:hAnsi="Garamond"/>
          <w:color w:val="FF0000"/>
          <w:sz w:val="24"/>
          <w:szCs w:val="24"/>
        </w:rPr>
        <w:t xml:space="preserve"> in other households.</w:t>
      </w:r>
      <w:r w:rsidR="00325D9E" w:rsidRPr="009B62AA">
        <w:rPr>
          <w:rFonts w:ascii="Garamond" w:eastAsia="Times New Roman" w:hAnsi="Garamond"/>
          <w:color w:val="FF0000"/>
          <w:sz w:val="24"/>
          <w:szCs w:val="24"/>
        </w:rPr>
        <w:t xml:space="preserve">  </w:t>
      </w:r>
      <w:r w:rsidR="00B23803" w:rsidRPr="009B62AA">
        <w:rPr>
          <w:rFonts w:ascii="Garamond" w:eastAsia="Times New Roman" w:hAnsi="Garamond"/>
          <w:color w:val="FF0000"/>
          <w:sz w:val="24"/>
          <w:szCs w:val="24"/>
        </w:rPr>
        <w:t xml:space="preserve">Reducing the number of PSPS events, shortening PSPS event duration, and ensuring re-energization occurs more quickly is even more important.  </w:t>
      </w:r>
      <w:r w:rsidR="00A33610" w:rsidRPr="009B62AA">
        <w:rPr>
          <w:rFonts w:ascii="Garamond" w:eastAsia="Times New Roman" w:hAnsi="Garamond"/>
          <w:color w:val="FF0000"/>
          <w:sz w:val="24"/>
          <w:szCs w:val="24"/>
        </w:rPr>
        <w:t xml:space="preserve">Emergency centers </w:t>
      </w:r>
      <w:r w:rsidR="006A473E" w:rsidRPr="009B62AA">
        <w:rPr>
          <w:rFonts w:ascii="Garamond" w:eastAsia="Times New Roman" w:hAnsi="Garamond"/>
          <w:color w:val="FF0000"/>
          <w:sz w:val="24"/>
          <w:szCs w:val="24"/>
        </w:rPr>
        <w:t>have been</w:t>
      </w:r>
      <w:r w:rsidR="00A33610" w:rsidRPr="009B62AA">
        <w:rPr>
          <w:rFonts w:ascii="Garamond" w:eastAsia="Times New Roman" w:hAnsi="Garamond"/>
          <w:color w:val="FF0000"/>
          <w:sz w:val="24"/>
          <w:szCs w:val="24"/>
        </w:rPr>
        <w:t xml:space="preserve"> a critical tool</w:t>
      </w:r>
      <w:r w:rsidR="005168FE" w:rsidRPr="009B62AA">
        <w:rPr>
          <w:rFonts w:ascii="Garamond" w:eastAsia="Times New Roman" w:hAnsi="Garamond"/>
          <w:color w:val="FF0000"/>
          <w:sz w:val="24"/>
          <w:szCs w:val="24"/>
        </w:rPr>
        <w:t xml:space="preserve"> </w:t>
      </w:r>
      <w:r w:rsidR="001D5CC4" w:rsidRPr="009B62AA">
        <w:rPr>
          <w:rFonts w:ascii="Garamond" w:eastAsia="Times New Roman" w:hAnsi="Garamond"/>
          <w:color w:val="FF0000"/>
          <w:sz w:val="24"/>
          <w:szCs w:val="24"/>
        </w:rPr>
        <w:t>for</w:t>
      </w:r>
      <w:r w:rsidR="00A33610" w:rsidRPr="009B62AA">
        <w:rPr>
          <w:rFonts w:ascii="Garamond" w:eastAsia="Times New Roman" w:hAnsi="Garamond"/>
          <w:color w:val="FF0000"/>
          <w:sz w:val="24"/>
          <w:szCs w:val="24"/>
        </w:rPr>
        <w:t xml:space="preserve"> communities to mitigate the impacts of PSPS </w:t>
      </w:r>
      <w:r w:rsidRPr="009B62AA">
        <w:rPr>
          <w:rFonts w:ascii="Garamond" w:eastAsia="Times New Roman" w:hAnsi="Garamond"/>
          <w:color w:val="FF0000"/>
          <w:sz w:val="24"/>
          <w:szCs w:val="24"/>
        </w:rPr>
        <w:t>events</w:t>
      </w:r>
      <w:r w:rsidR="001D5CC4" w:rsidRPr="009B62AA">
        <w:rPr>
          <w:rFonts w:ascii="Garamond" w:eastAsia="Times New Roman" w:hAnsi="Garamond"/>
          <w:color w:val="FF0000"/>
          <w:sz w:val="24"/>
          <w:szCs w:val="24"/>
        </w:rPr>
        <w:t>,</w:t>
      </w:r>
      <w:r w:rsidRPr="009B62AA">
        <w:rPr>
          <w:rFonts w:ascii="Garamond" w:eastAsia="Times New Roman" w:hAnsi="Garamond"/>
          <w:color w:val="FF0000"/>
          <w:sz w:val="24"/>
          <w:szCs w:val="24"/>
        </w:rPr>
        <w:t xml:space="preserve"> but</w:t>
      </w:r>
      <w:r w:rsidR="00A33610" w:rsidRPr="009B62AA">
        <w:rPr>
          <w:rFonts w:ascii="Garamond" w:eastAsia="Times New Roman" w:hAnsi="Garamond"/>
          <w:color w:val="FF0000"/>
          <w:sz w:val="24"/>
          <w:szCs w:val="24"/>
        </w:rPr>
        <w:t xml:space="preserve"> </w:t>
      </w:r>
      <w:r w:rsidR="00C67794" w:rsidRPr="009B62AA">
        <w:rPr>
          <w:rFonts w:ascii="Garamond" w:eastAsia="Times New Roman" w:hAnsi="Garamond"/>
          <w:color w:val="FF0000"/>
          <w:sz w:val="24"/>
          <w:szCs w:val="24"/>
        </w:rPr>
        <w:t>now must be reimagined to comply with physical distancing requirements</w:t>
      </w:r>
      <w:r w:rsidR="00A33610" w:rsidRPr="009B62AA">
        <w:rPr>
          <w:rFonts w:ascii="Garamond" w:eastAsia="Times New Roman" w:hAnsi="Garamond"/>
          <w:color w:val="FF0000"/>
          <w:sz w:val="24"/>
          <w:szCs w:val="24"/>
        </w:rPr>
        <w:t>.</w:t>
      </w:r>
      <w:r w:rsidRPr="009B62AA">
        <w:rPr>
          <w:rFonts w:ascii="Garamond" w:eastAsia="Times New Roman" w:hAnsi="Garamond"/>
          <w:color w:val="FF0000"/>
          <w:sz w:val="24"/>
          <w:szCs w:val="24"/>
        </w:rPr>
        <w:t xml:space="preserve">  Finally, </w:t>
      </w:r>
      <w:r w:rsidR="008E48C3" w:rsidRPr="009B62AA">
        <w:rPr>
          <w:rFonts w:ascii="Garamond" w:eastAsia="Times New Roman" w:hAnsi="Garamond"/>
          <w:color w:val="FF0000"/>
          <w:sz w:val="24"/>
          <w:szCs w:val="24"/>
        </w:rPr>
        <w:t xml:space="preserve">individuals </w:t>
      </w:r>
      <w:r w:rsidR="00A700EA" w:rsidRPr="009B62AA">
        <w:rPr>
          <w:rFonts w:ascii="Garamond" w:eastAsia="Times New Roman" w:hAnsi="Garamond"/>
          <w:color w:val="FF0000"/>
          <w:sz w:val="24"/>
          <w:szCs w:val="24"/>
        </w:rPr>
        <w:t xml:space="preserve">impacted by PSPS events </w:t>
      </w:r>
      <w:r w:rsidR="008E48C3" w:rsidRPr="009B62AA">
        <w:rPr>
          <w:rFonts w:ascii="Garamond" w:eastAsia="Times New Roman" w:hAnsi="Garamond"/>
          <w:color w:val="FF0000"/>
          <w:sz w:val="24"/>
          <w:szCs w:val="24"/>
        </w:rPr>
        <w:t xml:space="preserve">have less access to </w:t>
      </w:r>
      <w:r w:rsidR="00BB0872" w:rsidRPr="009B62AA">
        <w:rPr>
          <w:rFonts w:ascii="Garamond" w:eastAsia="Times New Roman" w:hAnsi="Garamond"/>
          <w:color w:val="FF0000"/>
          <w:sz w:val="24"/>
          <w:szCs w:val="24"/>
        </w:rPr>
        <w:t>necessary</w:t>
      </w:r>
      <w:r w:rsidR="00357F75" w:rsidRPr="009B62AA">
        <w:rPr>
          <w:rFonts w:ascii="Garamond" w:eastAsia="Times New Roman" w:hAnsi="Garamond"/>
          <w:color w:val="FF0000"/>
          <w:sz w:val="24"/>
          <w:szCs w:val="24"/>
        </w:rPr>
        <w:t xml:space="preserve"> </w:t>
      </w:r>
      <w:r w:rsidRPr="009B62AA">
        <w:rPr>
          <w:rFonts w:ascii="Garamond" w:eastAsia="Times New Roman" w:hAnsi="Garamond"/>
          <w:color w:val="FF0000"/>
          <w:sz w:val="24"/>
          <w:szCs w:val="24"/>
        </w:rPr>
        <w:t>resources</w:t>
      </w:r>
      <w:r w:rsidR="00C67794" w:rsidRPr="009B62AA">
        <w:rPr>
          <w:rFonts w:ascii="Garamond" w:eastAsia="Times New Roman" w:hAnsi="Garamond"/>
          <w:color w:val="FF0000"/>
          <w:sz w:val="24"/>
          <w:szCs w:val="24"/>
        </w:rPr>
        <w:t xml:space="preserve"> because of COVID-19. </w:t>
      </w:r>
      <w:r w:rsidR="00DE4149" w:rsidRPr="009B62AA">
        <w:rPr>
          <w:rFonts w:ascii="Garamond" w:eastAsia="Times New Roman" w:hAnsi="Garamond"/>
          <w:color w:val="FF0000"/>
          <w:sz w:val="24"/>
          <w:szCs w:val="24"/>
        </w:rPr>
        <w:t xml:space="preserve">  </w:t>
      </w:r>
      <w:r w:rsidR="00A33610" w:rsidRPr="009B62AA">
        <w:rPr>
          <w:rFonts w:ascii="Garamond" w:eastAsia="Times New Roman" w:hAnsi="Garamond"/>
          <w:color w:val="FF0000"/>
          <w:sz w:val="24"/>
          <w:szCs w:val="24"/>
        </w:rPr>
        <w:t xml:space="preserve">  </w:t>
      </w:r>
    </w:p>
    <w:p w14:paraId="1EABE8B9" w14:textId="171A9BC7" w:rsidR="00F14F1C" w:rsidRPr="00D27CF3" w:rsidRDefault="00F14F1C" w:rsidP="00C115EF">
      <w:pPr>
        <w:pStyle w:val="ListParagraph"/>
        <w:numPr>
          <w:ilvl w:val="0"/>
          <w:numId w:val="32"/>
        </w:numPr>
        <w:tabs>
          <w:tab w:val="left" w:pos="1080"/>
        </w:tabs>
        <w:contextualSpacing w:val="0"/>
        <w:rPr>
          <w:rFonts w:ascii="Garamond" w:eastAsia="Times New Roman" w:hAnsi="Garamond"/>
          <w:sz w:val="24"/>
          <w:szCs w:val="24"/>
        </w:rPr>
      </w:pPr>
      <w:r w:rsidRPr="001B0090">
        <w:rPr>
          <w:rFonts w:ascii="Garamond" w:eastAsia="Times New Roman" w:hAnsi="Garamond"/>
          <w:sz w:val="24"/>
          <w:szCs w:val="24"/>
        </w:rPr>
        <w:t xml:space="preserve">State and local municipalities will be able to help determine the highest priority line sections to target for </w:t>
      </w:r>
      <w:r w:rsidR="00EA218F" w:rsidRPr="001B0090">
        <w:rPr>
          <w:rFonts w:ascii="Garamond" w:eastAsia="Times New Roman" w:hAnsi="Garamond"/>
          <w:sz w:val="24"/>
          <w:szCs w:val="24"/>
        </w:rPr>
        <w:t xml:space="preserve">future </w:t>
      </w:r>
      <w:r w:rsidRPr="001B0090">
        <w:rPr>
          <w:rFonts w:ascii="Garamond" w:eastAsia="Times New Roman" w:hAnsi="Garamond"/>
          <w:sz w:val="24"/>
          <w:szCs w:val="24"/>
        </w:rPr>
        <w:t>PSPS avoidance.</w:t>
      </w:r>
    </w:p>
    <w:p w14:paraId="0CE6604F" w14:textId="1468E59A" w:rsidR="007B5904" w:rsidRPr="00310AB1" w:rsidRDefault="00AE2FEF" w:rsidP="00C115EF">
      <w:pPr>
        <w:pStyle w:val="ListParagraph"/>
        <w:numPr>
          <w:ilvl w:val="0"/>
          <w:numId w:val="32"/>
        </w:numPr>
        <w:tabs>
          <w:tab w:val="left" w:pos="1080"/>
        </w:tabs>
        <w:contextualSpacing w:val="0"/>
        <w:rPr>
          <w:rFonts w:ascii="Garamond" w:eastAsia="Times New Roman" w:hAnsi="Garamond"/>
          <w:sz w:val="24"/>
          <w:szCs w:val="24"/>
        </w:rPr>
      </w:pPr>
      <w:r w:rsidRPr="00D27CF3">
        <w:rPr>
          <w:rFonts w:ascii="Garamond" w:eastAsia="Times New Roman" w:hAnsi="Garamond"/>
          <w:sz w:val="24"/>
          <w:szCs w:val="24"/>
        </w:rPr>
        <w:t xml:space="preserve">The </w:t>
      </w:r>
      <w:r w:rsidR="00BF6A16" w:rsidRPr="00D27CF3">
        <w:rPr>
          <w:rFonts w:ascii="Garamond" w:eastAsia="Times New Roman" w:hAnsi="Garamond"/>
          <w:sz w:val="24"/>
          <w:szCs w:val="24"/>
        </w:rPr>
        <w:t>utilit</w:t>
      </w:r>
      <w:r w:rsidR="00BF6A16">
        <w:rPr>
          <w:rFonts w:ascii="Garamond" w:eastAsia="Times New Roman" w:hAnsi="Garamond"/>
          <w:sz w:val="24"/>
          <w:szCs w:val="24"/>
        </w:rPr>
        <w:t>ie</w:t>
      </w:r>
      <w:r w:rsidR="00BF6A16" w:rsidRPr="00D27CF3">
        <w:rPr>
          <w:rFonts w:ascii="Garamond" w:eastAsia="Times New Roman" w:hAnsi="Garamond"/>
          <w:sz w:val="24"/>
          <w:szCs w:val="24"/>
        </w:rPr>
        <w:t>s</w:t>
      </w:r>
      <w:r w:rsidR="00BF6A16">
        <w:rPr>
          <w:rFonts w:ascii="Garamond" w:eastAsia="Times New Roman" w:hAnsi="Garamond"/>
          <w:sz w:val="24"/>
          <w:szCs w:val="24"/>
        </w:rPr>
        <w:t>’</w:t>
      </w:r>
      <w:r w:rsidR="00BF6A16" w:rsidRPr="00D27CF3">
        <w:rPr>
          <w:rFonts w:ascii="Garamond" w:eastAsia="Times New Roman" w:hAnsi="Garamond"/>
          <w:sz w:val="24"/>
          <w:szCs w:val="24"/>
        </w:rPr>
        <w:t xml:space="preserve"> </w:t>
      </w:r>
      <w:r w:rsidR="007B5904" w:rsidRPr="00D27CF3">
        <w:rPr>
          <w:rFonts w:ascii="Garamond" w:eastAsia="Times New Roman" w:hAnsi="Garamond"/>
          <w:sz w:val="24"/>
          <w:szCs w:val="24"/>
        </w:rPr>
        <w:t xml:space="preserve">portfolio of grid hardening and vegetation management measures </w:t>
      </w:r>
      <w:r w:rsidRPr="00D27CF3">
        <w:rPr>
          <w:rFonts w:ascii="Garamond" w:eastAsia="Times New Roman" w:hAnsi="Garamond"/>
          <w:sz w:val="24"/>
          <w:szCs w:val="24"/>
        </w:rPr>
        <w:t>should</w:t>
      </w:r>
      <w:r w:rsidR="007B5904" w:rsidRPr="00D27CF3">
        <w:rPr>
          <w:rFonts w:ascii="Garamond" w:eastAsia="Times New Roman" w:hAnsi="Garamond"/>
          <w:sz w:val="24"/>
          <w:szCs w:val="24"/>
        </w:rPr>
        <w:t xml:space="preserve"> promote reducing the PSPS events for these customers</w:t>
      </w:r>
      <w:r w:rsidRPr="00D27CF3">
        <w:rPr>
          <w:rFonts w:ascii="Garamond" w:eastAsia="Times New Roman" w:hAnsi="Garamond"/>
          <w:sz w:val="24"/>
          <w:szCs w:val="24"/>
        </w:rPr>
        <w:t xml:space="preserve"> by identifying</w:t>
      </w:r>
      <w:r w:rsidR="00C56BDC" w:rsidRPr="00D27CF3">
        <w:rPr>
          <w:rFonts w:ascii="Garamond" w:eastAsia="Times New Roman" w:hAnsi="Garamond"/>
          <w:sz w:val="24"/>
          <w:szCs w:val="24"/>
        </w:rPr>
        <w:t>,</w:t>
      </w:r>
      <w:r w:rsidRPr="00D27CF3">
        <w:rPr>
          <w:rFonts w:ascii="Garamond" w:eastAsia="Times New Roman" w:hAnsi="Garamond"/>
          <w:sz w:val="24"/>
          <w:szCs w:val="24"/>
        </w:rPr>
        <w:t xml:space="preserve"> </w:t>
      </w:r>
      <w:r w:rsidR="00F96DFD" w:rsidRPr="00D27CF3">
        <w:rPr>
          <w:rFonts w:ascii="Garamond" w:eastAsia="Times New Roman" w:hAnsi="Garamond"/>
          <w:sz w:val="24"/>
          <w:szCs w:val="24"/>
        </w:rPr>
        <w:t>(</w:t>
      </w:r>
      <w:r w:rsidRPr="00D27CF3">
        <w:rPr>
          <w:rFonts w:ascii="Garamond" w:eastAsia="Times New Roman" w:hAnsi="Garamond"/>
          <w:sz w:val="24"/>
          <w:szCs w:val="24"/>
        </w:rPr>
        <w:t xml:space="preserve">1) Critical community infrastructure (hospitals, waste water treatment, town squares, grocery stores, retirement homes, etc.); </w:t>
      </w:r>
      <w:r w:rsidR="00F96DFD" w:rsidRPr="00D27CF3">
        <w:rPr>
          <w:rFonts w:ascii="Garamond" w:eastAsia="Times New Roman" w:hAnsi="Garamond"/>
          <w:sz w:val="24"/>
          <w:szCs w:val="24"/>
        </w:rPr>
        <w:t>(</w:t>
      </w:r>
      <w:r w:rsidRPr="00D27CF3">
        <w:rPr>
          <w:rFonts w:ascii="Garamond" w:eastAsia="Times New Roman" w:hAnsi="Garamond"/>
          <w:sz w:val="24"/>
          <w:szCs w:val="24"/>
        </w:rPr>
        <w:t xml:space="preserve">2) Customers that have already experienced numerous PSPS events; and </w:t>
      </w:r>
      <w:r w:rsidR="00F96DFD" w:rsidRPr="00D27CF3">
        <w:rPr>
          <w:rFonts w:ascii="Garamond" w:eastAsia="Times New Roman" w:hAnsi="Garamond"/>
          <w:sz w:val="24"/>
          <w:szCs w:val="24"/>
        </w:rPr>
        <w:t>(</w:t>
      </w:r>
      <w:r w:rsidRPr="00D27CF3">
        <w:rPr>
          <w:rFonts w:ascii="Garamond" w:eastAsia="Times New Roman" w:hAnsi="Garamond"/>
          <w:sz w:val="24"/>
          <w:szCs w:val="24"/>
        </w:rPr>
        <w:t xml:space="preserve">3) Lines sections </w:t>
      </w:r>
      <w:r w:rsidRPr="00A81FB5">
        <w:rPr>
          <w:rFonts w:ascii="Garamond" w:eastAsia="Times New Roman" w:hAnsi="Garamond"/>
          <w:sz w:val="24"/>
          <w:szCs w:val="24"/>
        </w:rPr>
        <w:t xml:space="preserve">that serve the maximum number of customers.   </w:t>
      </w:r>
      <w:r w:rsidR="007B5904" w:rsidRPr="00310AB1">
        <w:rPr>
          <w:rFonts w:ascii="Garamond" w:eastAsia="Times New Roman" w:hAnsi="Garamond"/>
          <w:sz w:val="24"/>
          <w:szCs w:val="24"/>
        </w:rPr>
        <w:t xml:space="preserve">  </w:t>
      </w:r>
    </w:p>
    <w:p w14:paraId="07D0C3E8" w14:textId="0B4CB785" w:rsidR="00306973" w:rsidRPr="001B0090" w:rsidRDefault="00306973" w:rsidP="00C115EF">
      <w:pPr>
        <w:pStyle w:val="ListParagraph"/>
        <w:numPr>
          <w:ilvl w:val="0"/>
          <w:numId w:val="47"/>
        </w:numPr>
        <w:contextualSpacing w:val="0"/>
        <w:rPr>
          <w:rFonts w:ascii="Garamond" w:eastAsia="Times New Roman" w:hAnsi="Garamond"/>
          <w:sz w:val="24"/>
          <w:szCs w:val="24"/>
        </w:rPr>
      </w:pPr>
      <w:r w:rsidRPr="001B0090">
        <w:rPr>
          <w:rFonts w:ascii="Garamond" w:hAnsi="Garamond"/>
          <w:sz w:val="24"/>
          <w:szCs w:val="24"/>
        </w:rPr>
        <w:t>During the February 18</w:t>
      </w:r>
      <w:r w:rsidRPr="001B0090">
        <w:rPr>
          <w:rFonts w:ascii="Garamond" w:hAnsi="Garamond"/>
          <w:sz w:val="24"/>
          <w:szCs w:val="24"/>
          <w:vertAlign w:val="superscript"/>
        </w:rPr>
        <w:t>th</w:t>
      </w:r>
      <w:r w:rsidRPr="001B0090">
        <w:rPr>
          <w:rFonts w:ascii="Garamond" w:hAnsi="Garamond"/>
          <w:sz w:val="24"/>
          <w:szCs w:val="24"/>
        </w:rPr>
        <w:t xml:space="preserve"> Informational Workshop,</w:t>
      </w:r>
      <w:r w:rsidRPr="001B0090">
        <w:rPr>
          <w:rStyle w:val="FootnoteReference"/>
          <w:rFonts w:ascii="Garamond" w:hAnsi="Garamond"/>
          <w:sz w:val="24"/>
          <w:szCs w:val="24"/>
        </w:rPr>
        <w:t xml:space="preserve"> </w:t>
      </w:r>
      <w:r w:rsidRPr="001B0090">
        <w:rPr>
          <w:rStyle w:val="FootnoteReference"/>
          <w:rFonts w:ascii="Garamond" w:hAnsi="Garamond"/>
          <w:sz w:val="24"/>
          <w:szCs w:val="24"/>
        </w:rPr>
        <w:footnoteReference w:id="25"/>
      </w:r>
      <w:r w:rsidRPr="001B0090">
        <w:rPr>
          <w:rFonts w:ascii="Garamond" w:hAnsi="Garamond"/>
          <w:sz w:val="24"/>
          <w:szCs w:val="24"/>
        </w:rPr>
        <w:t xml:space="preserve"> SDG&amp;E referenced work to reduce the effects PSPS by analyzing each circuit section and applying a portfolio of mitigations to exempt circuit sections from PSPS events</w:t>
      </w:r>
      <w:r w:rsidR="00935470">
        <w:rPr>
          <w:rFonts w:ascii="Garamond" w:hAnsi="Garamond"/>
          <w:sz w:val="24"/>
          <w:szCs w:val="24"/>
        </w:rPr>
        <w:t xml:space="preserve">.  </w:t>
      </w:r>
      <w:r w:rsidRPr="001B0090">
        <w:rPr>
          <w:rFonts w:ascii="Garamond" w:hAnsi="Garamond"/>
          <w:sz w:val="24"/>
          <w:szCs w:val="24"/>
        </w:rPr>
        <w:t xml:space="preserve">SDG&amp;E explained that its process focuses in the short term on line segments serving vital infrastructure that benefits communities (i.e. critical care facilities, town squares, and grocery stores).  SDG&amp;E’s WMP </w:t>
      </w:r>
      <w:r w:rsidR="00AE2FEF" w:rsidRPr="001B0090">
        <w:rPr>
          <w:rFonts w:ascii="Garamond" w:hAnsi="Garamond"/>
          <w:sz w:val="24"/>
          <w:szCs w:val="24"/>
        </w:rPr>
        <w:t>provide</w:t>
      </w:r>
      <w:r w:rsidRPr="001B0090">
        <w:rPr>
          <w:rFonts w:ascii="Garamond" w:hAnsi="Garamond"/>
          <w:sz w:val="24"/>
          <w:szCs w:val="24"/>
        </w:rPr>
        <w:t xml:space="preserve"> little detail regarding SDG&amp;E’s work to exclude certain line sections from future PSPS events including lines with critical infrastructure, customers who have experience frequent PSPS events, and lines that serve the maximum number of customers.  </w:t>
      </w:r>
    </w:p>
    <w:p w14:paraId="6EF8611D" w14:textId="5AC844CE" w:rsidR="00306973" w:rsidRPr="001B0090" w:rsidRDefault="00306973" w:rsidP="00C115EF">
      <w:pPr>
        <w:pStyle w:val="ListParagraph"/>
        <w:numPr>
          <w:ilvl w:val="0"/>
          <w:numId w:val="48"/>
        </w:numPr>
        <w:contextualSpacing w:val="0"/>
        <w:rPr>
          <w:rFonts w:ascii="Garamond" w:eastAsia="Times New Roman" w:hAnsi="Garamond"/>
          <w:sz w:val="24"/>
          <w:szCs w:val="24"/>
        </w:rPr>
      </w:pPr>
      <w:r w:rsidRPr="001B0090">
        <w:rPr>
          <w:rFonts w:ascii="Garamond" w:eastAsia="Times New Roman" w:hAnsi="Garamond"/>
          <w:sz w:val="24"/>
          <w:szCs w:val="24"/>
        </w:rPr>
        <w:t>PG&amp;E stated that work done in transmission line assessment, distribution segmentation, and distributed generation enabled microgrids that will reduce PSPS impacts by a projected 33%.</w:t>
      </w:r>
      <w:r w:rsidRPr="001B0090">
        <w:rPr>
          <w:rStyle w:val="FootnoteReference"/>
          <w:rFonts w:ascii="Garamond" w:eastAsia="Times New Roman" w:hAnsi="Garamond"/>
          <w:sz w:val="24"/>
          <w:szCs w:val="24"/>
        </w:rPr>
        <w:footnoteReference w:id="26"/>
      </w:r>
      <w:r w:rsidRPr="001B0090">
        <w:rPr>
          <w:rFonts w:ascii="Garamond" w:eastAsia="Times New Roman" w:hAnsi="Garamond"/>
          <w:sz w:val="24"/>
          <w:szCs w:val="24"/>
        </w:rPr>
        <w:t xml:space="preserve">  However, the work PG&amp;E has done to harden its system was not cited as a reason PG&amp;E was forecasting a reduction in PSPS events.</w:t>
      </w:r>
    </w:p>
    <w:p w14:paraId="49B27A77" w14:textId="77777777" w:rsidR="00306973" w:rsidRPr="00310AB1" w:rsidRDefault="00306973" w:rsidP="00C115EF">
      <w:pPr>
        <w:pStyle w:val="ListParagraph"/>
        <w:numPr>
          <w:ilvl w:val="0"/>
          <w:numId w:val="12"/>
        </w:numPr>
        <w:contextualSpacing w:val="0"/>
        <w:rPr>
          <w:rFonts w:ascii="Garamond" w:hAnsi="Garamond"/>
          <w:sz w:val="24"/>
          <w:szCs w:val="24"/>
        </w:rPr>
      </w:pPr>
      <w:r w:rsidRPr="00A81FB5">
        <w:rPr>
          <w:rFonts w:ascii="Garamond" w:hAnsi="Garamond"/>
          <w:sz w:val="24"/>
          <w:szCs w:val="24"/>
        </w:rPr>
        <w:t>Expediting the development of “Grid Hardening Operating Criteria”</w:t>
      </w:r>
      <w:r w:rsidRPr="00A81FB5">
        <w:rPr>
          <w:rStyle w:val="FootnoteReference"/>
          <w:rFonts w:ascii="Garamond" w:hAnsi="Garamond"/>
          <w:sz w:val="24"/>
          <w:szCs w:val="24"/>
        </w:rPr>
        <w:footnoteReference w:id="27"/>
      </w:r>
      <w:r w:rsidRPr="00A81FB5">
        <w:rPr>
          <w:rFonts w:ascii="Garamond" w:hAnsi="Garamond"/>
          <w:sz w:val="24"/>
          <w:szCs w:val="24"/>
        </w:rPr>
        <w:t xml:space="preserve"> is critical and will allow the utility to evaluate each circ</w:t>
      </w:r>
      <w:r w:rsidRPr="00310AB1">
        <w:rPr>
          <w:rFonts w:ascii="Garamond" w:hAnsi="Garamond"/>
          <w:sz w:val="24"/>
          <w:szCs w:val="24"/>
        </w:rPr>
        <w:t xml:space="preserve">uit within a distribution or transmission line.  This criterion will help the utility to evaluate the grid hardening techniques possible for each circuit to achieve the goal that the hardening technique should remove the circuit section from requiring deenergization in a future PSPS event.  The utilities could develop more conservative, interim criteria in order to achieve the goal of reducing PSPS events for certain circuits.  </w:t>
      </w:r>
    </w:p>
    <w:p w14:paraId="5F10F47B" w14:textId="52ACE938" w:rsidR="00306973" w:rsidRPr="001B0090" w:rsidRDefault="00306973" w:rsidP="00855C71">
      <w:pPr>
        <w:pStyle w:val="ListParagraph"/>
        <w:numPr>
          <w:ilvl w:val="0"/>
          <w:numId w:val="11"/>
        </w:numPr>
        <w:ind w:left="360"/>
        <w:contextualSpacing w:val="0"/>
        <w:rPr>
          <w:rFonts w:ascii="Garamond" w:eastAsia="Times New Roman" w:hAnsi="Garamond"/>
          <w:sz w:val="24"/>
          <w:szCs w:val="24"/>
        </w:rPr>
      </w:pPr>
      <w:r w:rsidRPr="001B0090">
        <w:rPr>
          <w:rFonts w:ascii="Garamond" w:eastAsia="Times New Roman" w:hAnsi="Garamond"/>
          <w:sz w:val="24"/>
          <w:szCs w:val="24"/>
        </w:rPr>
        <w:t>While refining Grid Hardening Operating Criteria is critical, grid hardening is not the only wildfire mitigation technique being deployed</w:t>
      </w:r>
      <w:r w:rsidR="00935470">
        <w:rPr>
          <w:rFonts w:ascii="Garamond" w:eastAsia="Times New Roman" w:hAnsi="Garamond"/>
          <w:sz w:val="24"/>
          <w:szCs w:val="24"/>
        </w:rPr>
        <w:t xml:space="preserve">.  </w:t>
      </w:r>
      <w:r w:rsidRPr="001B0090">
        <w:rPr>
          <w:rFonts w:ascii="Garamond" w:eastAsia="Times New Roman" w:hAnsi="Garamond"/>
          <w:sz w:val="24"/>
          <w:szCs w:val="24"/>
        </w:rPr>
        <w:t xml:space="preserve">Grid hardening and other wildfire mitigation techniques are not mutually exclusive.  Other types of mitigation techniques should be included in the grid hardening operating criteria so that operators gain the confidence needed to safely avoid initiating a PSPS event for a specific circuit section.  For example, the removal of </w:t>
      </w:r>
      <w:r w:rsidR="00CB7309" w:rsidRPr="001B0090">
        <w:rPr>
          <w:rFonts w:ascii="Garamond" w:eastAsia="Times New Roman" w:hAnsi="Garamond"/>
          <w:sz w:val="24"/>
          <w:szCs w:val="24"/>
        </w:rPr>
        <w:t xml:space="preserve">some </w:t>
      </w:r>
      <w:r w:rsidRPr="001B0090">
        <w:rPr>
          <w:rFonts w:ascii="Garamond" w:eastAsia="Times New Roman" w:hAnsi="Garamond"/>
          <w:sz w:val="24"/>
          <w:szCs w:val="24"/>
        </w:rPr>
        <w:t>high-risk trees reduces the risk of foreign objects hitting the lines</w:t>
      </w:r>
      <w:r w:rsidR="00F14F1C" w:rsidRPr="001B0090">
        <w:rPr>
          <w:rFonts w:ascii="Garamond" w:eastAsia="Times New Roman" w:hAnsi="Garamond"/>
          <w:sz w:val="24"/>
          <w:szCs w:val="24"/>
        </w:rPr>
        <w:t>.  Vegetation management, in this case,</w:t>
      </w:r>
      <w:r w:rsidRPr="001B0090">
        <w:rPr>
          <w:rFonts w:ascii="Garamond" w:eastAsia="Times New Roman" w:hAnsi="Garamond"/>
          <w:sz w:val="24"/>
          <w:szCs w:val="24"/>
        </w:rPr>
        <w:t xml:space="preserve"> could reduce the risk of a wildfire and </w:t>
      </w:r>
      <w:r w:rsidR="009907BB">
        <w:rPr>
          <w:rFonts w:ascii="Garamond" w:eastAsia="Times New Roman" w:hAnsi="Garamond"/>
          <w:sz w:val="24"/>
          <w:szCs w:val="24"/>
        </w:rPr>
        <w:t xml:space="preserve">possibly </w:t>
      </w:r>
      <w:r w:rsidRPr="001B0090">
        <w:rPr>
          <w:rFonts w:ascii="Garamond" w:eastAsia="Times New Roman" w:hAnsi="Garamond"/>
          <w:sz w:val="24"/>
          <w:szCs w:val="24"/>
        </w:rPr>
        <w:t>allow a line section to be excluded from a PSPS event during</w:t>
      </w:r>
      <w:r w:rsidR="00F14F1C" w:rsidRPr="001B0090">
        <w:rPr>
          <w:rFonts w:ascii="Garamond" w:eastAsia="Times New Roman" w:hAnsi="Garamond"/>
          <w:sz w:val="24"/>
          <w:szCs w:val="24"/>
        </w:rPr>
        <w:t xml:space="preserve"> </w:t>
      </w:r>
      <w:r w:rsidRPr="001B0090">
        <w:rPr>
          <w:rFonts w:ascii="Garamond" w:eastAsia="Times New Roman" w:hAnsi="Garamond"/>
          <w:sz w:val="24"/>
          <w:szCs w:val="24"/>
        </w:rPr>
        <w:t>higher wind</w:t>
      </w:r>
      <w:r w:rsidR="005B3937" w:rsidRPr="001B0090">
        <w:rPr>
          <w:rFonts w:ascii="Garamond" w:eastAsia="Times New Roman" w:hAnsi="Garamond"/>
          <w:sz w:val="24"/>
          <w:szCs w:val="24"/>
        </w:rPr>
        <w:t xml:space="preserve"> conditions</w:t>
      </w:r>
      <w:r w:rsidRPr="001B0090">
        <w:rPr>
          <w:rFonts w:ascii="Garamond" w:eastAsia="Times New Roman" w:hAnsi="Garamond"/>
          <w:sz w:val="24"/>
          <w:szCs w:val="24"/>
        </w:rPr>
        <w:t xml:space="preserve">.  </w:t>
      </w:r>
    </w:p>
    <w:p w14:paraId="287FF6F0" w14:textId="2CB6C32F" w:rsidR="00306973" w:rsidRPr="00D27CF3" w:rsidRDefault="00306973" w:rsidP="00855C71">
      <w:pPr>
        <w:pStyle w:val="ListParagraph"/>
        <w:numPr>
          <w:ilvl w:val="0"/>
          <w:numId w:val="11"/>
        </w:numPr>
        <w:ind w:left="360"/>
        <w:contextualSpacing w:val="0"/>
        <w:rPr>
          <w:rFonts w:ascii="Garamond" w:eastAsia="Times New Roman" w:hAnsi="Garamond"/>
          <w:sz w:val="24"/>
          <w:szCs w:val="24"/>
        </w:rPr>
      </w:pPr>
      <w:r>
        <w:rPr>
          <w:rFonts w:ascii="Garamond" w:hAnsi="Garamond"/>
          <w:sz w:val="24"/>
          <w:szCs w:val="24"/>
        </w:rPr>
        <w:t>The resource allocation section of the WMP</w:t>
      </w:r>
      <w:r w:rsidR="000F5E6C">
        <w:rPr>
          <w:rFonts w:ascii="Garamond" w:hAnsi="Garamond"/>
          <w:sz w:val="24"/>
          <w:szCs w:val="24"/>
        </w:rPr>
        <w:t>s</w:t>
      </w:r>
      <w:r>
        <w:rPr>
          <w:rFonts w:ascii="Garamond" w:hAnsi="Garamond"/>
          <w:sz w:val="24"/>
          <w:szCs w:val="24"/>
        </w:rPr>
        <w:t xml:space="preserve"> should reflect this priority on grid hardening and vegetation management mitigation measures that will allow the reduction in duration and number of PSPS for certain circuits.  </w:t>
      </w:r>
      <w:r w:rsidRPr="00D27CF3">
        <w:rPr>
          <w:rFonts w:ascii="Garamond" w:eastAsia="Times New Roman" w:hAnsi="Garamond"/>
          <w:sz w:val="24"/>
          <w:szCs w:val="24"/>
        </w:rPr>
        <w:t xml:space="preserve">One example is in the use of covered conductors.  Using covered conductor requires using the most robust equipment and is more resources intensive in terms of construction resources and money.  There may be areas due to topography (e.g. urban areas in the High Fire Threat Districts) and areas with a specific weather history where other a less resource intensive techniques could be used to avoid the initiation or exclude certain circuits from PSPS events using the same spend to achieve the same goal of avoiding PSPS events or excluding certain circuits from PSPS events.  </w:t>
      </w:r>
    </w:p>
    <w:p w14:paraId="294FD565" w14:textId="4E7BD997" w:rsidR="00AE2FEF" w:rsidRPr="00BA4290" w:rsidRDefault="00306973" w:rsidP="00C115EF">
      <w:pPr>
        <w:pStyle w:val="ListParagraph"/>
        <w:numPr>
          <w:ilvl w:val="0"/>
          <w:numId w:val="11"/>
        </w:numPr>
        <w:spacing w:after="0"/>
        <w:ind w:left="360"/>
        <w:contextualSpacing w:val="0"/>
        <w:rPr>
          <w:rFonts w:ascii="Garamond" w:eastAsia="Times New Roman" w:hAnsi="Garamond"/>
          <w:sz w:val="24"/>
          <w:szCs w:val="24"/>
        </w:rPr>
      </w:pPr>
      <w:r w:rsidRPr="00D27CF3">
        <w:rPr>
          <w:rFonts w:ascii="Garamond" w:eastAsia="Times New Roman" w:hAnsi="Garamond"/>
          <w:sz w:val="24"/>
          <w:szCs w:val="24"/>
        </w:rPr>
        <w:t>The utilities should promote efforts that achieve the dual emphasis of A) work done to reduce the risk of utility initiates wildfires and B) removing line sections from potential future PSPS events</w:t>
      </w:r>
      <w:r w:rsidR="00935470">
        <w:rPr>
          <w:rFonts w:ascii="Garamond" w:eastAsia="Times New Roman" w:hAnsi="Garamond"/>
          <w:sz w:val="24"/>
          <w:szCs w:val="24"/>
        </w:rPr>
        <w:t xml:space="preserve">.  </w:t>
      </w:r>
      <w:r w:rsidRPr="00D27CF3">
        <w:rPr>
          <w:rFonts w:ascii="Garamond" w:eastAsia="Times New Roman" w:hAnsi="Garamond"/>
          <w:sz w:val="24"/>
          <w:szCs w:val="24"/>
        </w:rPr>
        <w:t xml:space="preserve">Actions that are interrelated and mutually supportive </w:t>
      </w:r>
      <w:r w:rsidR="00FB1752">
        <w:rPr>
          <w:rFonts w:ascii="Garamond" w:eastAsia="Times New Roman" w:hAnsi="Garamond"/>
          <w:sz w:val="24"/>
          <w:szCs w:val="24"/>
        </w:rPr>
        <w:t>should</w:t>
      </w:r>
      <w:r w:rsidRPr="00D27CF3">
        <w:rPr>
          <w:rFonts w:ascii="Garamond" w:eastAsia="Times New Roman" w:hAnsi="Garamond"/>
          <w:sz w:val="24"/>
          <w:szCs w:val="24"/>
        </w:rPr>
        <w:t xml:space="preserve"> be favored.</w:t>
      </w:r>
    </w:p>
    <w:p w14:paraId="0A19AEE4" w14:textId="77777777" w:rsidR="00306973" w:rsidRPr="00D27CF3" w:rsidRDefault="00306973" w:rsidP="00C115EF">
      <w:pPr>
        <w:spacing w:after="0"/>
        <w:rPr>
          <w:rFonts w:ascii="Century Gothic" w:eastAsia="Times New Roman" w:hAnsi="Century Gothic"/>
        </w:rPr>
      </w:pPr>
    </w:p>
    <w:p w14:paraId="16571668" w14:textId="77777777" w:rsidR="00306973" w:rsidRPr="00D27CF3" w:rsidRDefault="00306973" w:rsidP="00C115EF">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09D5A614" w14:textId="5D34E38E" w:rsidR="00190A07" w:rsidRPr="00EC688F" w:rsidRDefault="00BA4290" w:rsidP="00C115EF">
      <w:pPr>
        <w:pStyle w:val="ListParagraph"/>
        <w:numPr>
          <w:ilvl w:val="0"/>
          <w:numId w:val="11"/>
        </w:numPr>
        <w:ind w:left="360"/>
        <w:contextualSpacing w:val="0"/>
        <w:rPr>
          <w:rFonts w:ascii="Garamond" w:eastAsia="Times New Roman" w:hAnsi="Garamond"/>
          <w:sz w:val="24"/>
          <w:szCs w:val="24"/>
        </w:rPr>
      </w:pPr>
      <w:r w:rsidRPr="00BA4290">
        <w:rPr>
          <w:rFonts w:ascii="Garamond" w:hAnsi="Garamond"/>
          <w:sz w:val="24"/>
          <w:szCs w:val="24"/>
        </w:rPr>
        <w:t>Submission of</w:t>
      </w:r>
      <w:r w:rsidR="00190A07" w:rsidRPr="00BA4290">
        <w:rPr>
          <w:rFonts w:ascii="Garamond" w:hAnsi="Garamond"/>
          <w:sz w:val="24"/>
          <w:szCs w:val="24"/>
        </w:rPr>
        <w:t xml:space="preserve"> “Grid Hardening Operating Criteria”</w:t>
      </w:r>
      <w:r w:rsidR="00190A07">
        <w:rPr>
          <w:rStyle w:val="FootnoteReference"/>
          <w:rFonts w:ascii="Garamond" w:hAnsi="Garamond"/>
          <w:sz w:val="24"/>
          <w:szCs w:val="24"/>
        </w:rPr>
        <w:footnoteReference w:id="28"/>
      </w:r>
      <w:r w:rsidR="00190A07" w:rsidRPr="00BA4290">
        <w:rPr>
          <w:rFonts w:ascii="Garamond" w:hAnsi="Garamond"/>
          <w:sz w:val="24"/>
          <w:szCs w:val="24"/>
        </w:rPr>
        <w:t xml:space="preserve"> that evaluates each circuit within a distribution or transmission line with the goal of reducing PSPS events for certain circuits.  </w:t>
      </w:r>
      <w:r w:rsidR="00306973" w:rsidRPr="00BA4290">
        <w:rPr>
          <w:rFonts w:ascii="Garamond" w:hAnsi="Garamond"/>
          <w:sz w:val="24"/>
          <w:szCs w:val="24"/>
        </w:rPr>
        <w:t xml:space="preserve">Analysis and documentation of utility priorities that promote the exclusion of line segments that serve critical infrastructure from future PSPS events. </w:t>
      </w:r>
    </w:p>
    <w:p w14:paraId="2AD60A71" w14:textId="4DFA91BE" w:rsidR="00306973" w:rsidRPr="005168FE" w:rsidRDefault="00306973" w:rsidP="00C115EF">
      <w:pPr>
        <w:pStyle w:val="ListParagraph"/>
        <w:numPr>
          <w:ilvl w:val="0"/>
          <w:numId w:val="15"/>
        </w:numPr>
        <w:tabs>
          <w:tab w:val="left" w:pos="7008"/>
        </w:tabs>
        <w:contextualSpacing w:val="0"/>
      </w:pPr>
      <w:r w:rsidRPr="00D27CF3">
        <w:rPr>
          <w:rFonts w:ascii="Garamond" w:eastAsia="Times New Roman" w:hAnsi="Garamond"/>
          <w:sz w:val="24"/>
          <w:szCs w:val="24"/>
        </w:rPr>
        <w:t>A Risk Spend Efficiency analysis that assesses the cost of reducing PSPS per mitigation strategy by line segment and customer outage minutes projected to be avoided.</w:t>
      </w:r>
      <w:r w:rsidR="003325D0" w:rsidRPr="005168FE">
        <w:rPr>
          <w:rFonts w:ascii="Century Gothic" w:eastAsia="Times New Roman" w:hAnsi="Century Gothic"/>
        </w:rPr>
        <w:br w:type="page"/>
      </w:r>
    </w:p>
    <w:p w14:paraId="05F573C5" w14:textId="1E502BBC" w:rsidR="005977C5" w:rsidRPr="00D27CF3" w:rsidRDefault="000E488A" w:rsidP="00C115EF">
      <w:pPr>
        <w:pStyle w:val="Heading1"/>
      </w:pPr>
      <w:bookmarkStart w:id="18" w:name="_Toc36750069"/>
      <w:bookmarkStart w:id="19" w:name="_Toc36319421"/>
      <w:r>
        <w:t>9</w:t>
      </w:r>
      <w:r w:rsidR="005977C5" w:rsidRPr="00D27CF3">
        <w:t xml:space="preserve">. </w:t>
      </w:r>
      <w:r w:rsidR="00E910DC" w:rsidRPr="00D27CF3">
        <w:t xml:space="preserve">Analyzing Fire Maps to Exclude </w:t>
      </w:r>
      <w:r w:rsidR="00B50ADA" w:rsidRPr="00D27CF3">
        <w:t>Lines from PSPS Events</w:t>
      </w:r>
      <w:bookmarkEnd w:id="18"/>
      <w:r w:rsidR="00B50ADA" w:rsidRPr="00D27CF3">
        <w:t xml:space="preserve"> </w:t>
      </w:r>
    </w:p>
    <w:p w14:paraId="3466EF09" w14:textId="77777777" w:rsidR="005977C5" w:rsidRPr="00997EAC" w:rsidRDefault="005977C5" w:rsidP="00C115EF">
      <w:pPr>
        <w:spacing w:after="0"/>
        <w:rPr>
          <w:sz w:val="8"/>
          <w:szCs w:val="8"/>
        </w:rPr>
      </w:pP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5977C5" w:rsidRPr="007C7BDA" w14:paraId="749EB5EF" w14:textId="77777777" w:rsidTr="003D4259">
        <w:trPr>
          <w:trHeight w:val="436"/>
          <w:jc w:val="center"/>
        </w:trPr>
        <w:tc>
          <w:tcPr>
            <w:tcW w:w="6480" w:type="dxa"/>
            <w:gridSpan w:val="2"/>
            <w:tcBorders>
              <w:bottom w:val="single" w:sz="12" w:space="0" w:color="8496B0" w:themeColor="text2" w:themeTint="99"/>
            </w:tcBorders>
            <w:shd w:val="clear" w:color="auto" w:fill="D9E2F3" w:themeFill="accent1" w:themeFillTint="33"/>
          </w:tcPr>
          <w:p w14:paraId="6BECF506" w14:textId="77777777" w:rsidR="005977C5" w:rsidRPr="007C7BDA" w:rsidRDefault="005977C5" w:rsidP="00C115EF">
            <w:pPr>
              <w:spacing w:before="60"/>
              <w:ind w:left="432"/>
              <w:rPr>
                <w:rFonts w:ascii="Garamond" w:hAnsi="Garamond"/>
              </w:rPr>
            </w:pPr>
            <w:r w:rsidRPr="007C7BDA">
              <w:rPr>
                <w:b/>
                <w:bCs/>
                <w:noProof/>
              </w:rPr>
              <w:drawing>
                <wp:anchor distT="0" distB="0" distL="114300" distR="114300" simplePos="0" relativeHeight="251658267" behindDoc="0" locked="0" layoutInCell="1" allowOverlap="0" wp14:anchorId="1C62E457" wp14:editId="18DE8F10">
                  <wp:simplePos x="0" y="0"/>
                  <wp:positionH relativeFrom="leftMargin">
                    <wp:posOffset>59690</wp:posOffset>
                  </wp:positionH>
                  <wp:positionV relativeFrom="paragraph">
                    <wp:posOffset>5927</wp:posOffset>
                  </wp:positionV>
                  <wp:extent cx="246888" cy="246888"/>
                  <wp:effectExtent l="0" t="0" r="1270" b="1270"/>
                  <wp:wrapNone/>
                  <wp:docPr id="12" name="Graphic 12"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1970501571"/>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435828817"/>
                <w14:checkbox>
                  <w14:checked w14:val="0"/>
                  <w14:checkedState w14:val="2612" w14:font="MS Gothic"/>
                  <w14:uncheckedState w14:val="2610" w14:font="MS Gothic"/>
                </w14:checkbox>
              </w:sdtPr>
              <w:sdtEndPr/>
              <w:sdtContent>
                <w:r w:rsidRPr="007C7BDA">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91098095"/>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1852638575"/>
                <w14:checkbox>
                  <w14:checked w14:val="1"/>
                  <w14:checkedState w14:val="2612" w14:font="MS Gothic"/>
                  <w14:uncheckedState w14:val="2610" w14:font="MS Gothic"/>
                </w14:checkbox>
              </w:sdtPr>
              <w:sdtEndPr/>
              <w:sdtContent>
                <w:r w:rsidRPr="00D27CF3">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7C80CF54" w14:textId="5D74DC25" w:rsidR="005977C5" w:rsidRPr="007C7BDA" w:rsidRDefault="005977C5" w:rsidP="00C115EF">
            <w:pPr>
              <w:spacing w:before="60"/>
              <w:ind w:left="-15"/>
              <w:rPr>
                <w:rFonts w:ascii="Garamond" w:hAnsi="Garamond"/>
              </w:rPr>
            </w:pPr>
            <w:r>
              <w:rPr>
                <w:rFonts w:ascii="Garamond" w:hAnsi="Garamond"/>
                <w:noProof/>
              </w:rPr>
              <w:drawing>
                <wp:anchor distT="0" distB="0" distL="114300" distR="114300" simplePos="0" relativeHeight="251658268" behindDoc="0" locked="0" layoutInCell="1" allowOverlap="1" wp14:anchorId="2D2307CB" wp14:editId="33EECC51">
                  <wp:simplePos x="0" y="0"/>
                  <wp:positionH relativeFrom="column">
                    <wp:posOffset>-28575</wp:posOffset>
                  </wp:positionH>
                  <wp:positionV relativeFrom="paragraph">
                    <wp:posOffset>-20320</wp:posOffset>
                  </wp:positionV>
                  <wp:extent cx="295275" cy="295275"/>
                  <wp:effectExtent l="0" t="0" r="0" b="0"/>
                  <wp:wrapNone/>
                  <wp:docPr id="13" name="Graphic 13"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0E488A">
              <w:rPr>
                <w:rFonts w:ascii="Garamond" w:hAnsi="Garamond"/>
              </w:rPr>
              <w:t>9</w:t>
            </w:r>
          </w:p>
        </w:tc>
      </w:tr>
      <w:tr w:rsidR="005977C5" w14:paraId="011B7328" w14:textId="77777777" w:rsidTr="003D4259">
        <w:trPr>
          <w:trHeight w:val="79"/>
          <w:jc w:val="center"/>
        </w:trPr>
        <w:tc>
          <w:tcPr>
            <w:tcW w:w="9630" w:type="dxa"/>
            <w:gridSpan w:val="3"/>
            <w:tcBorders>
              <w:left w:val="nil"/>
              <w:bottom w:val="single" w:sz="12" w:space="0" w:color="8496B0" w:themeColor="text2" w:themeTint="99"/>
              <w:right w:val="nil"/>
            </w:tcBorders>
          </w:tcPr>
          <w:p w14:paraId="07B68BBC" w14:textId="77777777" w:rsidR="005977C5" w:rsidRPr="00D27CF3" w:rsidRDefault="005977C5" w:rsidP="00855C71">
            <w:pPr>
              <w:rPr>
                <w:rFonts w:eastAsia="Times New Roman" w:cstheme="minorHAnsi"/>
                <w:sz w:val="8"/>
                <w:szCs w:val="8"/>
              </w:rPr>
            </w:pPr>
          </w:p>
        </w:tc>
      </w:tr>
      <w:tr w:rsidR="005977C5" w14:paraId="27D4A699" w14:textId="77777777" w:rsidTr="003D4259">
        <w:trPr>
          <w:trHeight w:val="285"/>
          <w:jc w:val="center"/>
        </w:trPr>
        <w:tc>
          <w:tcPr>
            <w:tcW w:w="9630" w:type="dxa"/>
            <w:gridSpan w:val="3"/>
            <w:tcBorders>
              <w:bottom w:val="nil"/>
            </w:tcBorders>
            <w:shd w:val="clear" w:color="auto" w:fill="D9E2F3" w:themeFill="accent1" w:themeFillTint="33"/>
          </w:tcPr>
          <w:p w14:paraId="151D806E" w14:textId="77777777" w:rsidR="005977C5" w:rsidRPr="00D27CF3" w:rsidRDefault="005977C5"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5977C5" w14:paraId="39F08127" w14:textId="77777777" w:rsidTr="003D4259">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24080820" w14:textId="77777777" w:rsidR="005977C5"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5851258"/>
                <w14:checkbox>
                  <w14:checked w14:val="0"/>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Vegetation management and inspections</w:t>
            </w:r>
          </w:p>
          <w:p w14:paraId="632C68DC" w14:textId="77777777" w:rsidR="005977C5"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769122020"/>
                <w14:checkbox>
                  <w14:checked w14:val="1"/>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Grid design and system hardening</w:t>
            </w:r>
          </w:p>
          <w:p w14:paraId="39BFAF14" w14:textId="77777777" w:rsidR="005977C5" w:rsidRPr="00D27CF3" w:rsidRDefault="005977C5"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09AC6AAF" w14:textId="77777777" w:rsidR="005977C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918673352"/>
                <w14:checkbox>
                  <w14:checked w14:val="0"/>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Resource allocation methodology incl. Risk Spend Efficiency</w:t>
            </w:r>
          </w:p>
          <w:p w14:paraId="36857BF0" w14:textId="77777777" w:rsidR="005977C5"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2077540084"/>
                <w14:checkbox>
                  <w14:checked w14:val="1"/>
                  <w14:checkedState w14:val="2612" w14:font="MS Gothic"/>
                  <w14:uncheckedState w14:val="2610" w14:font="MS Gothic"/>
                </w14:checkbox>
              </w:sdtPr>
              <w:sdtEndPr/>
              <w:sdtContent>
                <w:r w:rsidR="005977C5" w:rsidRPr="00D27CF3">
                  <w:rPr>
                    <w:rFonts w:ascii="MS Gothic" w:eastAsia="MS Gothic" w:hAnsi="MS Gothic" w:cs="Segoe UI Symbol" w:hint="eastAsia"/>
                    <w:sz w:val="20"/>
                    <w:szCs w:val="20"/>
                  </w:rPr>
                  <w:t>☒</w:t>
                </w:r>
              </w:sdtContent>
            </w:sdt>
            <w:r w:rsidR="005977C5" w:rsidRPr="00D27CF3">
              <w:rPr>
                <w:rFonts w:ascii="Garamond" w:eastAsia="Times New Roman" w:hAnsi="Garamond"/>
                <w:sz w:val="20"/>
                <w:szCs w:val="20"/>
              </w:rPr>
              <w:t xml:space="preserve"> Communication with the community, planning, preparedness and recovery after PSPS events</w:t>
            </w:r>
          </w:p>
        </w:tc>
      </w:tr>
      <w:tr w:rsidR="005977C5" w14:paraId="008771BC" w14:textId="77777777" w:rsidTr="003D4259">
        <w:trPr>
          <w:trHeight w:val="43"/>
          <w:jc w:val="center"/>
        </w:trPr>
        <w:tc>
          <w:tcPr>
            <w:tcW w:w="9630" w:type="dxa"/>
            <w:gridSpan w:val="3"/>
            <w:tcBorders>
              <w:left w:val="nil"/>
              <w:bottom w:val="single" w:sz="12" w:space="0" w:color="8496B0" w:themeColor="text2" w:themeTint="99"/>
              <w:right w:val="nil"/>
            </w:tcBorders>
          </w:tcPr>
          <w:p w14:paraId="5A977C46" w14:textId="77777777" w:rsidR="005977C5" w:rsidRPr="00D27CF3" w:rsidRDefault="005977C5" w:rsidP="00855C71">
            <w:pPr>
              <w:spacing w:line="276" w:lineRule="auto"/>
              <w:rPr>
                <w:rFonts w:eastAsia="Times New Roman" w:cstheme="minorHAnsi"/>
                <w:sz w:val="8"/>
                <w:szCs w:val="8"/>
              </w:rPr>
            </w:pPr>
          </w:p>
        </w:tc>
      </w:tr>
      <w:tr w:rsidR="005977C5" w14:paraId="40FC43F3" w14:textId="77777777" w:rsidTr="003D4259">
        <w:trPr>
          <w:trHeight w:val="43"/>
          <w:jc w:val="center"/>
        </w:trPr>
        <w:tc>
          <w:tcPr>
            <w:tcW w:w="9630" w:type="dxa"/>
            <w:gridSpan w:val="3"/>
            <w:tcBorders>
              <w:bottom w:val="nil"/>
            </w:tcBorders>
            <w:shd w:val="clear" w:color="auto" w:fill="D9E2F3" w:themeFill="accent1" w:themeFillTint="33"/>
          </w:tcPr>
          <w:p w14:paraId="6722E6C7" w14:textId="77777777" w:rsidR="005977C5" w:rsidRPr="007C7BDA" w:rsidRDefault="005977C5"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5977C5" w14:paraId="17A8E0C3" w14:textId="77777777" w:rsidTr="003D4259">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28C7968C" w14:textId="77777777" w:rsidR="005977C5"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68268388"/>
                <w14:checkbox>
                  <w14:checked w14:val="0"/>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Risk assessment and mapping</w:t>
            </w:r>
          </w:p>
          <w:p w14:paraId="0BE74776" w14:textId="77777777" w:rsidR="005977C5"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73781400"/>
                <w14:checkbox>
                  <w14:checked w14:val="0"/>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Situational awareness and forecasting</w:t>
            </w:r>
          </w:p>
          <w:p w14:paraId="42AD4219" w14:textId="77777777" w:rsidR="005977C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983779016"/>
                <w14:checkbox>
                  <w14:checked w14:val="1"/>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Grid design and system hardening</w:t>
            </w:r>
          </w:p>
          <w:p w14:paraId="0BCD96D2" w14:textId="77777777" w:rsidR="005977C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15800777"/>
                <w14:checkbox>
                  <w14:checked w14:val="0"/>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Asset management and inspections</w:t>
            </w:r>
          </w:p>
          <w:p w14:paraId="691FB2AE" w14:textId="77777777" w:rsidR="005977C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522355174"/>
                <w14:checkbox>
                  <w14:checked w14:val="0"/>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0016A67D" w14:textId="77777777" w:rsidR="005977C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64723949"/>
                <w14:checkbox>
                  <w14:checked w14:val="1"/>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Grid operations and protocols</w:t>
            </w:r>
          </w:p>
          <w:p w14:paraId="7FFDC4C0" w14:textId="77777777" w:rsidR="005977C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060784838"/>
                <w14:checkbox>
                  <w14:checked w14:val="0"/>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Data governance</w:t>
            </w:r>
          </w:p>
          <w:p w14:paraId="4571F48F" w14:textId="77777777" w:rsidR="005977C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973586243"/>
                <w14:checkbox>
                  <w14:checked w14:val="0"/>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Resource allocation methodology</w:t>
            </w:r>
          </w:p>
          <w:p w14:paraId="3FBFEE56" w14:textId="77777777" w:rsidR="005977C5"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658295475"/>
                <w14:checkbox>
                  <w14:checked w14:val="1"/>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Emergency planning and preparedness</w:t>
            </w:r>
          </w:p>
          <w:p w14:paraId="412731A8" w14:textId="77777777" w:rsidR="005977C5" w:rsidRPr="009D23C5" w:rsidRDefault="00E20D41" w:rsidP="00C115EF">
            <w:pPr>
              <w:spacing w:before="60" w:line="276" w:lineRule="auto"/>
              <w:ind w:left="360"/>
              <w:rPr>
                <w:rFonts w:ascii="Garamond" w:hAnsi="Garamond"/>
                <w:b/>
                <w:bCs/>
                <w:sz w:val="20"/>
                <w:szCs w:val="20"/>
              </w:rPr>
            </w:pPr>
            <w:sdt>
              <w:sdtPr>
                <w:rPr>
                  <w:rFonts w:ascii="Garamond" w:eastAsia="Times New Roman" w:hAnsi="Garamond"/>
                  <w:sz w:val="20"/>
                  <w:szCs w:val="20"/>
                </w:rPr>
                <w:id w:val="-1023627997"/>
                <w14:checkbox>
                  <w14:checked w14:val="0"/>
                  <w14:checkedState w14:val="2612" w14:font="MS Gothic"/>
                  <w14:uncheckedState w14:val="2610" w14:font="MS Gothic"/>
                </w14:checkbox>
              </w:sdtPr>
              <w:sdtEndPr/>
              <w:sdtContent>
                <w:r w:rsidR="005977C5" w:rsidRPr="00D27CF3">
                  <w:rPr>
                    <w:rFonts w:ascii="MS Gothic" w:eastAsia="MS Gothic" w:hAnsi="MS Gothic" w:hint="eastAsia"/>
                    <w:sz w:val="20"/>
                    <w:szCs w:val="20"/>
                  </w:rPr>
                  <w:t>☐</w:t>
                </w:r>
              </w:sdtContent>
            </w:sdt>
            <w:r w:rsidR="005977C5" w:rsidRPr="00D27CF3">
              <w:rPr>
                <w:rFonts w:ascii="Garamond" w:eastAsia="Times New Roman" w:hAnsi="Garamond"/>
                <w:sz w:val="20"/>
                <w:szCs w:val="20"/>
              </w:rPr>
              <w:t xml:space="preserve">  Stakeholder cooperation and community engagement</w:t>
            </w:r>
          </w:p>
        </w:tc>
      </w:tr>
      <w:tr w:rsidR="005977C5" w14:paraId="137EAF29" w14:textId="77777777" w:rsidTr="003D4259">
        <w:trPr>
          <w:trHeight w:val="51"/>
          <w:jc w:val="center"/>
        </w:trPr>
        <w:tc>
          <w:tcPr>
            <w:tcW w:w="9630" w:type="dxa"/>
            <w:gridSpan w:val="3"/>
            <w:tcBorders>
              <w:left w:val="nil"/>
              <w:right w:val="nil"/>
            </w:tcBorders>
          </w:tcPr>
          <w:p w14:paraId="44C34D71" w14:textId="77777777" w:rsidR="005977C5" w:rsidRPr="007D218D" w:rsidRDefault="005977C5" w:rsidP="00855C71">
            <w:pPr>
              <w:rPr>
                <w:rFonts w:cstheme="minorHAnsi"/>
                <w:sz w:val="8"/>
                <w:szCs w:val="8"/>
              </w:rPr>
            </w:pPr>
          </w:p>
        </w:tc>
      </w:tr>
      <w:tr w:rsidR="005977C5" w14:paraId="25D8B43A" w14:textId="77777777" w:rsidTr="003D4259">
        <w:trPr>
          <w:trHeight w:val="489"/>
          <w:jc w:val="center"/>
        </w:trPr>
        <w:tc>
          <w:tcPr>
            <w:tcW w:w="9630" w:type="dxa"/>
            <w:gridSpan w:val="3"/>
            <w:shd w:val="clear" w:color="auto" w:fill="D9E2F3" w:themeFill="accent1" w:themeFillTint="33"/>
          </w:tcPr>
          <w:p w14:paraId="7E1279D4" w14:textId="77777777" w:rsidR="005977C5" w:rsidRPr="00D95954" w:rsidRDefault="005977C5"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66" behindDoc="0" locked="0" layoutInCell="1" allowOverlap="1" wp14:anchorId="6B210389" wp14:editId="6C917CE1">
                  <wp:simplePos x="0" y="0"/>
                  <wp:positionH relativeFrom="leftMargin">
                    <wp:posOffset>59690</wp:posOffset>
                  </wp:positionH>
                  <wp:positionV relativeFrom="paragraph">
                    <wp:posOffset>37677</wp:posOffset>
                  </wp:positionV>
                  <wp:extent cx="245534" cy="194627"/>
                  <wp:effectExtent l="0" t="0" r="0" b="0"/>
                  <wp:wrapNone/>
                  <wp:docPr id="14" name="Graphic 14"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2143641570"/>
                <w14:checkbox>
                  <w14:checked w14:val="0"/>
                  <w14:checkedState w14:val="2612" w14:font="MS Gothic"/>
                  <w14:uncheckedState w14:val="2610" w14:font="MS Gothic"/>
                </w14:checkbox>
              </w:sdtPr>
              <w:sdtEndPr/>
              <w:sdtContent>
                <w:r w:rsidRPr="00BF7E3D">
                  <w:rPr>
                    <w:rFonts w:ascii="Segoe UI Symbol" w:hAnsi="Segoe UI Symbol" w:cs="Segoe UI Symbol"/>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113836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86351571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Mid Term </w:t>
            </w:r>
            <w:r>
              <w:rPr>
                <w:rFonts w:ascii="Garamond" w:hAnsi="Garamond"/>
              </w:rPr>
              <w:t xml:space="preserve">    </w:t>
            </w:r>
            <w:sdt>
              <w:sdtPr>
                <w:rPr>
                  <w:rFonts w:ascii="Garamond" w:hAnsi="Garamond"/>
                </w:rPr>
                <w:id w:val="557829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tbl>
    <w:p w14:paraId="0586D271" w14:textId="77777777" w:rsidR="005977C5" w:rsidRDefault="005977C5" w:rsidP="00855C71">
      <w:pPr>
        <w:spacing w:after="0"/>
        <w:rPr>
          <w:b/>
          <w:bCs/>
          <w:sz w:val="24"/>
          <w:szCs w:val="24"/>
        </w:rPr>
      </w:pPr>
    </w:p>
    <w:p w14:paraId="2043E376" w14:textId="77777777" w:rsidR="005977C5" w:rsidRDefault="005977C5" w:rsidP="00855C71">
      <w:pPr>
        <w:rPr>
          <w:rFonts w:ascii="Century Gothic" w:hAnsi="Century Gothic"/>
        </w:rPr>
      </w:pPr>
      <w:r>
        <w:rPr>
          <w:rFonts w:ascii="Century Gothic" w:hAnsi="Century Gothic"/>
        </w:rPr>
        <w:t>Issue/Metric:</w:t>
      </w:r>
    </w:p>
    <w:p w14:paraId="6779F85C" w14:textId="036A8FD4" w:rsidR="005977C5" w:rsidRPr="004E12F4" w:rsidRDefault="00DA2355" w:rsidP="00C115EF">
      <w:pPr>
        <w:pStyle w:val="ListParagraph"/>
        <w:numPr>
          <w:ilvl w:val="0"/>
          <w:numId w:val="19"/>
        </w:numPr>
        <w:spacing w:after="0"/>
        <w:contextualSpacing w:val="0"/>
        <w:rPr>
          <w:rFonts w:ascii="Garamond" w:hAnsi="Garamond"/>
          <w:sz w:val="24"/>
          <w:szCs w:val="24"/>
        </w:rPr>
      </w:pPr>
      <w:r w:rsidRPr="00E26E95">
        <w:rPr>
          <w:rFonts w:ascii="Garamond" w:hAnsi="Garamond"/>
          <w:sz w:val="24"/>
          <w:szCs w:val="24"/>
        </w:rPr>
        <w:t xml:space="preserve">Identifying </w:t>
      </w:r>
      <w:r w:rsidR="005E149A" w:rsidRPr="00E26E95">
        <w:rPr>
          <w:rFonts w:ascii="Garamond" w:hAnsi="Garamond"/>
          <w:sz w:val="24"/>
          <w:szCs w:val="24"/>
        </w:rPr>
        <w:t xml:space="preserve">areas within the </w:t>
      </w:r>
      <w:r w:rsidR="00093781" w:rsidRPr="00E26E95">
        <w:rPr>
          <w:rFonts w:ascii="Garamond" w:hAnsi="Garamond"/>
          <w:sz w:val="24"/>
          <w:szCs w:val="24"/>
        </w:rPr>
        <w:t>HFTD</w:t>
      </w:r>
      <w:r w:rsidRPr="00E26E95">
        <w:rPr>
          <w:rFonts w:ascii="Garamond" w:hAnsi="Garamond"/>
          <w:sz w:val="24"/>
          <w:szCs w:val="24"/>
        </w:rPr>
        <w:t xml:space="preserve"> maps </w:t>
      </w:r>
      <w:r w:rsidR="005D4D02" w:rsidRPr="00E26E95">
        <w:rPr>
          <w:rFonts w:ascii="Garamond" w:hAnsi="Garamond"/>
          <w:sz w:val="24"/>
          <w:szCs w:val="24"/>
        </w:rPr>
        <w:t xml:space="preserve">that may safely be excluded from </w:t>
      </w:r>
      <w:r w:rsidR="00BA7A1A" w:rsidRPr="00E26E95">
        <w:rPr>
          <w:rFonts w:ascii="Garamond" w:hAnsi="Garamond"/>
          <w:sz w:val="24"/>
          <w:szCs w:val="24"/>
        </w:rPr>
        <w:t xml:space="preserve">PSPS </w:t>
      </w:r>
      <w:r w:rsidR="005D4D02" w:rsidRPr="00E26E95">
        <w:rPr>
          <w:rFonts w:ascii="Garamond" w:hAnsi="Garamond"/>
          <w:sz w:val="24"/>
          <w:szCs w:val="24"/>
        </w:rPr>
        <w:t>events</w:t>
      </w:r>
      <w:r w:rsidR="00CE59C8" w:rsidRPr="00E26E95">
        <w:rPr>
          <w:rFonts w:ascii="Garamond" w:hAnsi="Garamond"/>
          <w:sz w:val="24"/>
          <w:szCs w:val="24"/>
        </w:rPr>
        <w:t xml:space="preserve"> </w:t>
      </w:r>
      <w:r w:rsidR="00CE59C8" w:rsidRPr="004E12F4">
        <w:rPr>
          <w:rFonts w:ascii="Garamond" w:hAnsi="Garamond"/>
          <w:sz w:val="24"/>
          <w:szCs w:val="24"/>
        </w:rPr>
        <w:t xml:space="preserve">due to </w:t>
      </w:r>
      <w:r w:rsidR="008D6C4A" w:rsidRPr="004E12F4">
        <w:rPr>
          <w:rFonts w:ascii="Garamond" w:hAnsi="Garamond"/>
          <w:sz w:val="24"/>
          <w:szCs w:val="24"/>
        </w:rPr>
        <w:t>undergrounding, grid hardening</w:t>
      </w:r>
      <w:r w:rsidR="00C02278" w:rsidRPr="004E12F4">
        <w:rPr>
          <w:rFonts w:ascii="Garamond" w:hAnsi="Garamond"/>
          <w:sz w:val="24"/>
          <w:szCs w:val="24"/>
        </w:rPr>
        <w:t xml:space="preserve">, </w:t>
      </w:r>
      <w:r w:rsidR="00310ED3">
        <w:rPr>
          <w:rFonts w:ascii="Garamond" w:hAnsi="Garamond"/>
          <w:sz w:val="24"/>
          <w:szCs w:val="24"/>
        </w:rPr>
        <w:t xml:space="preserve">sectionalizing, </w:t>
      </w:r>
      <w:r w:rsidR="00C02278" w:rsidRPr="004E12F4">
        <w:rPr>
          <w:rFonts w:ascii="Garamond" w:hAnsi="Garamond"/>
          <w:sz w:val="24"/>
          <w:szCs w:val="24"/>
        </w:rPr>
        <w:t>or location i</w:t>
      </w:r>
      <w:r w:rsidR="009A6CBF" w:rsidRPr="004E12F4">
        <w:rPr>
          <w:rFonts w:ascii="Garamond" w:hAnsi="Garamond"/>
          <w:sz w:val="24"/>
          <w:szCs w:val="24"/>
        </w:rPr>
        <w:t>n an urban area outside the wildland urban interface</w:t>
      </w:r>
      <w:r w:rsidR="00CE59C8" w:rsidRPr="004E12F4">
        <w:rPr>
          <w:rFonts w:ascii="Garamond" w:hAnsi="Garamond"/>
          <w:sz w:val="24"/>
          <w:szCs w:val="24"/>
        </w:rPr>
        <w:t xml:space="preserve">.  </w:t>
      </w:r>
    </w:p>
    <w:p w14:paraId="4D39E119" w14:textId="77777777" w:rsidR="005977C5" w:rsidRDefault="005977C5" w:rsidP="00C115EF">
      <w:pPr>
        <w:spacing w:after="0"/>
        <w:rPr>
          <w:rFonts w:ascii="Century Gothic" w:hAnsi="Century Gothic"/>
        </w:rPr>
      </w:pPr>
    </w:p>
    <w:p w14:paraId="407D69B4" w14:textId="24FC97F4" w:rsidR="005977C5" w:rsidRDefault="005977C5" w:rsidP="00C115EF">
      <w:pPr>
        <w:rPr>
          <w:rFonts w:ascii="Century Gothic" w:hAnsi="Century Gothic"/>
        </w:rPr>
      </w:pPr>
      <w:r>
        <w:rPr>
          <w:rFonts w:ascii="Century Gothic" w:hAnsi="Century Gothic"/>
        </w:rPr>
        <w:t>Current WMP Requirement</w:t>
      </w:r>
      <w:r w:rsidR="000165F8">
        <w:rPr>
          <w:rFonts w:ascii="Century Gothic" w:hAnsi="Century Gothic"/>
        </w:rPr>
        <w:t>s</w:t>
      </w:r>
      <w:r>
        <w:rPr>
          <w:rFonts w:ascii="Century Gothic" w:hAnsi="Century Gothic"/>
        </w:rPr>
        <w:t>:</w:t>
      </w:r>
    </w:p>
    <w:p w14:paraId="264CEE44" w14:textId="1D82E766" w:rsidR="005977C5" w:rsidRPr="00D27CF3" w:rsidRDefault="005977C5" w:rsidP="00C115EF">
      <w:pPr>
        <w:pStyle w:val="ListParagraph"/>
        <w:numPr>
          <w:ilvl w:val="0"/>
          <w:numId w:val="18"/>
        </w:numPr>
        <w:contextualSpacing w:val="0"/>
        <w:rPr>
          <w:rFonts w:ascii="Century Gothic" w:eastAsia="Times New Roman" w:hAnsi="Century Gothic"/>
        </w:rPr>
      </w:pPr>
      <w:r w:rsidRPr="00295667">
        <w:rPr>
          <w:rFonts w:ascii="Garamond" w:hAnsi="Garamond"/>
          <w:sz w:val="24"/>
          <w:szCs w:val="24"/>
        </w:rPr>
        <w:t>Maps designating HFTD were developed through a nine-year</w:t>
      </w:r>
      <w:r>
        <w:rPr>
          <w:rStyle w:val="FootnoteReference"/>
          <w:rFonts w:ascii="Garamond" w:hAnsi="Garamond"/>
          <w:sz w:val="24"/>
          <w:szCs w:val="24"/>
        </w:rPr>
        <w:footnoteReference w:id="29"/>
      </w:r>
      <w:r w:rsidRPr="00295667">
        <w:rPr>
          <w:rFonts w:ascii="Garamond" w:hAnsi="Garamond"/>
          <w:sz w:val="24"/>
          <w:szCs w:val="24"/>
        </w:rPr>
        <w:t xml:space="preserve"> stakeholder process with the CPUC and CalFire.  These maps were approved in CPUC Decision 17-12-024.  Tier 2 HFTDs indicate elevated threat.  Tier 3 HFTDs indicate extreme threat.  CPUC regulations require different wildfire mitigation treatment depending upon whether an area is designated as a Tier 2 or 3 HFTD. </w:t>
      </w:r>
    </w:p>
    <w:p w14:paraId="705D724E" w14:textId="7694A892" w:rsidR="005977C5" w:rsidRPr="00D27CF3" w:rsidRDefault="005977C5" w:rsidP="00C115EF">
      <w:pPr>
        <w:pStyle w:val="ListParagraph"/>
        <w:numPr>
          <w:ilvl w:val="0"/>
          <w:numId w:val="18"/>
        </w:numPr>
        <w:spacing w:after="0"/>
        <w:contextualSpacing w:val="0"/>
        <w:rPr>
          <w:rFonts w:ascii="Century Gothic" w:eastAsia="Times New Roman" w:hAnsi="Century Gothic"/>
        </w:rPr>
      </w:pPr>
      <w:r>
        <w:rPr>
          <w:rFonts w:ascii="Garamond" w:hAnsi="Garamond"/>
          <w:sz w:val="24"/>
          <w:szCs w:val="24"/>
        </w:rPr>
        <w:t xml:space="preserve">The </w:t>
      </w:r>
      <w:r w:rsidR="00AA5727">
        <w:rPr>
          <w:rFonts w:ascii="Garamond" w:hAnsi="Garamond"/>
          <w:sz w:val="24"/>
          <w:szCs w:val="24"/>
        </w:rPr>
        <w:t xml:space="preserve">2020 </w:t>
      </w:r>
      <w:r>
        <w:rPr>
          <w:rFonts w:ascii="Garamond" w:hAnsi="Garamond"/>
          <w:sz w:val="24"/>
          <w:szCs w:val="24"/>
        </w:rPr>
        <w:t xml:space="preserve">WMP Guidelines require the utilities to describe their directional vision for PSPS events in Section 4.4.  PSPS events are also described in sections 3.3, 3.4, and 6.3.  Grid hardening measures are described in Section 5.3.3.   </w:t>
      </w:r>
    </w:p>
    <w:p w14:paraId="4BF6FEBD" w14:textId="77777777" w:rsidR="005977C5" w:rsidRPr="00D27CF3" w:rsidRDefault="005977C5" w:rsidP="00C115EF">
      <w:pPr>
        <w:spacing w:after="0"/>
        <w:rPr>
          <w:rFonts w:ascii="Century Gothic" w:eastAsia="Times New Roman" w:hAnsi="Century Gothic"/>
        </w:rPr>
      </w:pPr>
    </w:p>
    <w:p w14:paraId="5D9781C8" w14:textId="585A3C1F" w:rsidR="005977C5" w:rsidRPr="00D27CF3" w:rsidRDefault="006851E9" w:rsidP="00C115EF">
      <w:pPr>
        <w:rPr>
          <w:rFonts w:ascii="Century Gothic" w:eastAsia="Times New Roman" w:hAnsi="Century Gothic"/>
        </w:rPr>
      </w:pPr>
      <w:r w:rsidRPr="00D27CF3">
        <w:rPr>
          <w:rFonts w:ascii="Century Gothic" w:eastAsia="Times New Roman" w:hAnsi="Century Gothic"/>
        </w:rPr>
        <w:t xml:space="preserve">Board </w:t>
      </w:r>
      <w:r w:rsidR="005977C5" w:rsidRPr="00D27CF3">
        <w:rPr>
          <w:rFonts w:ascii="Century Gothic" w:eastAsia="Times New Roman" w:hAnsi="Century Gothic"/>
        </w:rPr>
        <w:t xml:space="preserve">Recommendations: </w:t>
      </w:r>
    </w:p>
    <w:p w14:paraId="2BE5B619" w14:textId="03616BEE" w:rsidR="006851E9" w:rsidRPr="00014F49" w:rsidRDefault="006851E9" w:rsidP="00C115EF">
      <w:pPr>
        <w:pStyle w:val="ListParagraph"/>
        <w:numPr>
          <w:ilvl w:val="0"/>
          <w:numId w:val="18"/>
        </w:numPr>
        <w:spacing w:after="0"/>
        <w:contextualSpacing w:val="0"/>
        <w:rPr>
          <w:rFonts w:ascii="Garamond" w:eastAsia="Times New Roman" w:hAnsi="Garamond"/>
          <w:sz w:val="24"/>
          <w:szCs w:val="24"/>
        </w:rPr>
      </w:pPr>
      <w:r w:rsidRPr="00D27CF3">
        <w:rPr>
          <w:rFonts w:ascii="Garamond" w:eastAsia="Times New Roman" w:hAnsi="Garamond"/>
          <w:sz w:val="24"/>
          <w:szCs w:val="24"/>
        </w:rPr>
        <w:t xml:space="preserve">The Wildfire Safety Division, in its review, should consider </w:t>
      </w:r>
      <w:r w:rsidR="00BC34F2">
        <w:rPr>
          <w:rFonts w:ascii="Garamond" w:eastAsia="Times New Roman" w:hAnsi="Garamond"/>
          <w:sz w:val="24"/>
          <w:szCs w:val="24"/>
        </w:rPr>
        <w:t>whether</w:t>
      </w:r>
      <w:r w:rsidRPr="00D27CF3">
        <w:rPr>
          <w:rFonts w:ascii="Garamond" w:eastAsia="Times New Roman" w:hAnsi="Garamond"/>
          <w:sz w:val="24"/>
          <w:szCs w:val="24"/>
        </w:rPr>
        <w:t xml:space="preserve"> the utilities </w:t>
      </w:r>
      <w:r w:rsidR="00BC34F2">
        <w:rPr>
          <w:rFonts w:ascii="Garamond" w:eastAsia="Times New Roman" w:hAnsi="Garamond"/>
          <w:sz w:val="24"/>
          <w:szCs w:val="24"/>
        </w:rPr>
        <w:t xml:space="preserve">have </w:t>
      </w:r>
      <w:r w:rsidRPr="00D27CF3">
        <w:rPr>
          <w:rFonts w:ascii="Garamond" w:eastAsia="Times New Roman" w:hAnsi="Garamond"/>
          <w:sz w:val="24"/>
          <w:szCs w:val="24"/>
        </w:rPr>
        <w:t>complete</w:t>
      </w:r>
      <w:r w:rsidR="00BC34F2">
        <w:rPr>
          <w:rFonts w:ascii="Garamond" w:eastAsia="Times New Roman" w:hAnsi="Garamond"/>
          <w:sz w:val="24"/>
          <w:szCs w:val="24"/>
        </w:rPr>
        <w:t>d</w:t>
      </w:r>
      <w:r w:rsidRPr="00D27CF3">
        <w:rPr>
          <w:rFonts w:ascii="Garamond" w:eastAsia="Times New Roman" w:hAnsi="Garamond"/>
          <w:sz w:val="24"/>
          <w:szCs w:val="24"/>
        </w:rPr>
        <w:t xml:space="preserve"> an analysis </w:t>
      </w:r>
      <w:r w:rsidR="00BD4856">
        <w:rPr>
          <w:rFonts w:ascii="Garamond" w:eastAsia="Times New Roman" w:hAnsi="Garamond"/>
          <w:color w:val="000000" w:themeColor="text1"/>
          <w:sz w:val="24"/>
          <w:szCs w:val="24"/>
        </w:rPr>
        <w:t>of</w:t>
      </w:r>
      <w:r w:rsidRPr="00D27CF3">
        <w:rPr>
          <w:rFonts w:ascii="Garamond" w:eastAsia="Times New Roman" w:hAnsi="Garamond"/>
          <w:sz w:val="24"/>
          <w:szCs w:val="24"/>
        </w:rPr>
        <w:t xml:space="preserve"> the HFTD maps to identify segments of the grid that may be excluded from PSPS events because the fire risk</w:t>
      </w:r>
      <w:r w:rsidR="00223617" w:rsidRPr="00223617">
        <w:rPr>
          <w:rFonts w:ascii="Garamond" w:eastAsia="Times New Roman" w:hAnsi="Garamond"/>
          <w:sz w:val="24"/>
          <w:szCs w:val="24"/>
        </w:rPr>
        <w:t xml:space="preserve"> </w:t>
      </w:r>
      <w:r w:rsidR="00223617">
        <w:rPr>
          <w:rFonts w:ascii="Garamond" w:eastAsia="Times New Roman" w:hAnsi="Garamond"/>
          <w:sz w:val="24"/>
          <w:szCs w:val="24"/>
        </w:rPr>
        <w:t xml:space="preserve">is </w:t>
      </w:r>
      <w:r w:rsidR="00223617" w:rsidRPr="00D27CF3">
        <w:rPr>
          <w:rFonts w:ascii="Garamond" w:eastAsia="Times New Roman" w:hAnsi="Garamond"/>
          <w:sz w:val="24"/>
          <w:szCs w:val="24"/>
        </w:rPr>
        <w:t>minimal</w:t>
      </w:r>
      <w:r w:rsidRPr="00D27CF3">
        <w:rPr>
          <w:rFonts w:ascii="Garamond" w:eastAsia="Times New Roman" w:hAnsi="Garamond"/>
          <w:sz w:val="24"/>
          <w:szCs w:val="24"/>
        </w:rPr>
        <w:t xml:space="preserve">.  </w:t>
      </w:r>
      <w:r w:rsidR="000B618F">
        <w:rPr>
          <w:rFonts w:ascii="Garamond" w:eastAsia="Times New Roman" w:hAnsi="Garamond"/>
          <w:sz w:val="24"/>
          <w:szCs w:val="24"/>
        </w:rPr>
        <w:t>These</w:t>
      </w:r>
      <w:r w:rsidR="00223617">
        <w:rPr>
          <w:rFonts w:ascii="Garamond" w:eastAsia="Times New Roman" w:hAnsi="Garamond"/>
          <w:sz w:val="24"/>
          <w:szCs w:val="24"/>
        </w:rPr>
        <w:t xml:space="preserve"> </w:t>
      </w:r>
      <w:r w:rsidR="00DE3ED7">
        <w:rPr>
          <w:rFonts w:ascii="Garamond" w:eastAsia="Times New Roman" w:hAnsi="Garamond"/>
          <w:sz w:val="24"/>
          <w:szCs w:val="24"/>
        </w:rPr>
        <w:t xml:space="preserve">include </w:t>
      </w:r>
      <w:r w:rsidR="00E75AFE">
        <w:rPr>
          <w:rFonts w:ascii="Garamond" w:eastAsia="Times New Roman" w:hAnsi="Garamond"/>
          <w:sz w:val="24"/>
          <w:szCs w:val="24"/>
        </w:rPr>
        <w:t xml:space="preserve">areas with </w:t>
      </w:r>
      <w:r w:rsidR="00DE3ED7">
        <w:rPr>
          <w:rFonts w:ascii="Garamond" w:eastAsia="Times New Roman" w:hAnsi="Garamond"/>
          <w:sz w:val="24"/>
          <w:szCs w:val="24"/>
        </w:rPr>
        <w:t xml:space="preserve">undergrounded </w:t>
      </w:r>
      <w:r w:rsidR="00D104B5">
        <w:rPr>
          <w:rFonts w:ascii="Garamond" w:eastAsia="Times New Roman" w:hAnsi="Garamond"/>
          <w:sz w:val="24"/>
          <w:szCs w:val="24"/>
        </w:rPr>
        <w:t xml:space="preserve">or hardened </w:t>
      </w:r>
      <w:r w:rsidR="00152260">
        <w:rPr>
          <w:rFonts w:ascii="Garamond" w:eastAsia="Times New Roman" w:hAnsi="Garamond"/>
          <w:sz w:val="24"/>
          <w:szCs w:val="24"/>
        </w:rPr>
        <w:t xml:space="preserve">lines, the capability to sectionalize, and, clearly, urban areas. </w:t>
      </w:r>
      <w:r w:rsidR="00152260" w:rsidRPr="00D27CF3">
        <w:rPr>
          <w:rFonts w:ascii="Garamond" w:eastAsia="Times New Roman" w:hAnsi="Garamond"/>
          <w:sz w:val="24"/>
          <w:szCs w:val="24"/>
        </w:rPr>
        <w:t xml:space="preserve"> </w:t>
      </w:r>
      <w:r w:rsidR="00BE5DF5">
        <w:rPr>
          <w:rFonts w:ascii="Garamond" w:eastAsia="Times New Roman" w:hAnsi="Garamond"/>
          <w:sz w:val="24"/>
          <w:szCs w:val="24"/>
        </w:rPr>
        <w:t>Further,</w:t>
      </w:r>
      <w:r w:rsidRPr="00D27CF3">
        <w:rPr>
          <w:rFonts w:ascii="Garamond" w:eastAsia="Times New Roman" w:hAnsi="Garamond"/>
          <w:sz w:val="24"/>
          <w:szCs w:val="24"/>
        </w:rPr>
        <w:t xml:space="preserve"> increasing segmentation</w:t>
      </w:r>
      <w:r w:rsidR="0012105C">
        <w:rPr>
          <w:rFonts w:ascii="Garamond" w:eastAsia="Times New Roman" w:hAnsi="Garamond"/>
          <w:sz w:val="24"/>
          <w:szCs w:val="24"/>
        </w:rPr>
        <w:t xml:space="preserve"> </w:t>
      </w:r>
      <w:r w:rsidR="00FF3748">
        <w:rPr>
          <w:rFonts w:ascii="Garamond" w:eastAsia="Times New Roman" w:hAnsi="Garamond"/>
          <w:sz w:val="24"/>
          <w:szCs w:val="24"/>
        </w:rPr>
        <w:t>or switching generation sources</w:t>
      </w:r>
      <w:r w:rsidR="00BE5DF5">
        <w:rPr>
          <w:rFonts w:ascii="Garamond" w:eastAsia="Times New Roman" w:hAnsi="Garamond"/>
          <w:sz w:val="24"/>
          <w:szCs w:val="24"/>
        </w:rPr>
        <w:t xml:space="preserve"> should be considered</w:t>
      </w:r>
      <w:r w:rsidR="00FF3748">
        <w:rPr>
          <w:rFonts w:ascii="Garamond" w:eastAsia="Times New Roman" w:hAnsi="Garamond"/>
          <w:sz w:val="24"/>
          <w:szCs w:val="24"/>
        </w:rPr>
        <w:t xml:space="preserve"> in order to</w:t>
      </w:r>
      <w:r w:rsidR="00E20717">
        <w:rPr>
          <w:rFonts w:ascii="Garamond" w:eastAsia="Times New Roman" w:hAnsi="Garamond"/>
          <w:sz w:val="24"/>
          <w:szCs w:val="24"/>
        </w:rPr>
        <w:t xml:space="preserve"> exclude </w:t>
      </w:r>
      <w:r w:rsidR="00847C02">
        <w:rPr>
          <w:rFonts w:ascii="Garamond" w:eastAsia="Times New Roman" w:hAnsi="Garamond"/>
          <w:sz w:val="24"/>
          <w:szCs w:val="24"/>
        </w:rPr>
        <w:t xml:space="preserve">from PSPS events </w:t>
      </w:r>
      <w:r w:rsidR="00417B08">
        <w:rPr>
          <w:rFonts w:ascii="Garamond" w:eastAsia="Times New Roman" w:hAnsi="Garamond"/>
          <w:sz w:val="24"/>
          <w:szCs w:val="24"/>
        </w:rPr>
        <w:t>low-risk lines that ar</w:t>
      </w:r>
      <w:r w:rsidR="005B7DF6">
        <w:rPr>
          <w:rFonts w:ascii="Garamond" w:eastAsia="Times New Roman" w:hAnsi="Garamond"/>
          <w:sz w:val="24"/>
          <w:szCs w:val="24"/>
        </w:rPr>
        <w:t xml:space="preserve">e </w:t>
      </w:r>
      <w:r w:rsidR="00E40286">
        <w:rPr>
          <w:rFonts w:ascii="Garamond" w:eastAsia="Times New Roman" w:hAnsi="Garamond"/>
          <w:sz w:val="24"/>
          <w:szCs w:val="24"/>
        </w:rPr>
        <w:t>downstream from high-risk lines</w:t>
      </w:r>
      <w:r w:rsidRPr="00D27CF3">
        <w:rPr>
          <w:rFonts w:ascii="Garamond" w:eastAsia="Times New Roman" w:hAnsi="Garamond"/>
          <w:sz w:val="24"/>
          <w:szCs w:val="24"/>
        </w:rPr>
        <w:t xml:space="preserve">.  </w:t>
      </w:r>
      <w:r w:rsidR="008E0FF5">
        <w:rPr>
          <w:rFonts w:ascii="Garamond" w:eastAsia="Times New Roman" w:hAnsi="Garamond"/>
          <w:sz w:val="24"/>
          <w:szCs w:val="24"/>
        </w:rPr>
        <w:t xml:space="preserve">Adjusting generation </w:t>
      </w:r>
      <w:r w:rsidR="00C22DB7">
        <w:rPr>
          <w:rFonts w:ascii="Garamond" w:eastAsia="Times New Roman" w:hAnsi="Garamond"/>
          <w:sz w:val="24"/>
          <w:szCs w:val="24"/>
        </w:rPr>
        <w:t xml:space="preserve">may </w:t>
      </w:r>
      <w:r w:rsidR="008E0FF5">
        <w:rPr>
          <w:rFonts w:ascii="Garamond" w:eastAsia="Times New Roman" w:hAnsi="Garamond"/>
          <w:sz w:val="24"/>
          <w:szCs w:val="24"/>
        </w:rPr>
        <w:t xml:space="preserve">require </w:t>
      </w:r>
      <w:r w:rsidR="00C22DB7">
        <w:rPr>
          <w:rFonts w:ascii="Garamond" w:eastAsia="Times New Roman" w:hAnsi="Garamond"/>
          <w:sz w:val="24"/>
          <w:szCs w:val="24"/>
        </w:rPr>
        <w:t xml:space="preserve">changes </w:t>
      </w:r>
      <w:r w:rsidR="00014F49">
        <w:rPr>
          <w:rFonts w:ascii="Garamond" w:eastAsia="Times New Roman" w:hAnsi="Garamond"/>
          <w:sz w:val="24"/>
          <w:szCs w:val="24"/>
        </w:rPr>
        <w:t xml:space="preserve">California </w:t>
      </w:r>
      <w:r w:rsidR="005E4B06">
        <w:rPr>
          <w:rFonts w:ascii="Garamond" w:eastAsia="Times New Roman" w:hAnsi="Garamond"/>
          <w:sz w:val="24"/>
          <w:szCs w:val="24"/>
        </w:rPr>
        <w:t>Independent System Operator (C</w:t>
      </w:r>
      <w:r w:rsidR="00014F49">
        <w:rPr>
          <w:rFonts w:ascii="Garamond" w:eastAsia="Times New Roman" w:hAnsi="Garamond"/>
          <w:sz w:val="24"/>
          <w:szCs w:val="24"/>
        </w:rPr>
        <w:t>AISO</w:t>
      </w:r>
      <w:r w:rsidR="005E4B06">
        <w:rPr>
          <w:rFonts w:ascii="Garamond" w:eastAsia="Times New Roman" w:hAnsi="Garamond"/>
          <w:sz w:val="24"/>
          <w:szCs w:val="24"/>
        </w:rPr>
        <w:t>)</w:t>
      </w:r>
      <w:r w:rsidR="00014F49">
        <w:rPr>
          <w:rFonts w:ascii="Garamond" w:eastAsia="Times New Roman" w:hAnsi="Garamond"/>
          <w:sz w:val="24"/>
          <w:szCs w:val="24"/>
        </w:rPr>
        <w:t xml:space="preserve"> protocols. </w:t>
      </w:r>
    </w:p>
    <w:p w14:paraId="185ACFCB" w14:textId="37FD2277" w:rsidR="005977C5" w:rsidRPr="001F601F" w:rsidRDefault="005977C5" w:rsidP="00C115EF">
      <w:pPr>
        <w:spacing w:after="0"/>
        <w:rPr>
          <w:rFonts w:ascii="Garamond" w:eastAsia="Times New Roman" w:hAnsi="Garamond"/>
          <w:sz w:val="24"/>
          <w:szCs w:val="24"/>
        </w:rPr>
      </w:pPr>
    </w:p>
    <w:p w14:paraId="7BE66176" w14:textId="77777777" w:rsidR="005977C5" w:rsidRPr="00D27CF3" w:rsidRDefault="005977C5" w:rsidP="00C115EF">
      <w:pPr>
        <w:rPr>
          <w:rFonts w:ascii="Century Gothic" w:eastAsia="Times New Roman" w:hAnsi="Century Gothic"/>
        </w:rPr>
      </w:pPr>
      <w:r w:rsidRPr="00D27CF3">
        <w:rPr>
          <w:rFonts w:ascii="Century Gothic" w:eastAsia="Times New Roman" w:hAnsi="Century Gothic"/>
        </w:rPr>
        <w:t>Observations:</w:t>
      </w:r>
    </w:p>
    <w:p w14:paraId="66324BD0" w14:textId="1231F32E" w:rsidR="00E8622D" w:rsidRPr="00E8622D" w:rsidRDefault="005977C5" w:rsidP="00C115EF">
      <w:pPr>
        <w:pStyle w:val="ListParagraph"/>
        <w:numPr>
          <w:ilvl w:val="0"/>
          <w:numId w:val="11"/>
        </w:numPr>
        <w:ind w:left="360"/>
        <w:contextualSpacing w:val="0"/>
        <w:rPr>
          <w:rFonts w:ascii="Garamond" w:eastAsia="Times New Roman" w:hAnsi="Garamond"/>
          <w:sz w:val="24"/>
          <w:szCs w:val="24"/>
        </w:rPr>
      </w:pPr>
      <w:r>
        <w:rPr>
          <w:rFonts w:ascii="Garamond" w:hAnsi="Garamond"/>
          <w:sz w:val="24"/>
          <w:szCs w:val="24"/>
        </w:rPr>
        <w:t>PSPS events should be limited</w:t>
      </w:r>
      <w:r w:rsidR="00596AE0">
        <w:rPr>
          <w:rFonts w:ascii="Garamond" w:hAnsi="Garamond"/>
          <w:sz w:val="24"/>
          <w:szCs w:val="24"/>
        </w:rPr>
        <w:t xml:space="preserve"> </w:t>
      </w:r>
      <w:r w:rsidR="00FC1051">
        <w:rPr>
          <w:rFonts w:ascii="Garamond" w:hAnsi="Garamond"/>
          <w:sz w:val="24"/>
          <w:szCs w:val="24"/>
        </w:rPr>
        <w:t xml:space="preserve">to those </w:t>
      </w:r>
      <w:r w:rsidR="00D44B0A">
        <w:rPr>
          <w:rFonts w:ascii="Garamond" w:hAnsi="Garamond"/>
          <w:sz w:val="24"/>
          <w:szCs w:val="24"/>
        </w:rPr>
        <w:t>c</w:t>
      </w:r>
      <w:r>
        <w:rPr>
          <w:rFonts w:ascii="Garamond" w:hAnsi="Garamond"/>
          <w:sz w:val="24"/>
          <w:szCs w:val="24"/>
        </w:rPr>
        <w:t xml:space="preserve">ircuits with overhead lines </w:t>
      </w:r>
      <w:r w:rsidR="00D44B0A">
        <w:rPr>
          <w:rFonts w:ascii="Garamond" w:hAnsi="Garamond"/>
          <w:sz w:val="24"/>
          <w:szCs w:val="24"/>
        </w:rPr>
        <w:t xml:space="preserve">because overhead lines </w:t>
      </w:r>
      <w:r>
        <w:rPr>
          <w:rFonts w:ascii="Garamond" w:hAnsi="Garamond"/>
          <w:sz w:val="24"/>
          <w:szCs w:val="24"/>
        </w:rPr>
        <w:t>create a high risk of ignition</w:t>
      </w:r>
      <w:r w:rsidR="00935470">
        <w:rPr>
          <w:rFonts w:ascii="Garamond" w:hAnsi="Garamond"/>
          <w:sz w:val="24"/>
          <w:szCs w:val="24"/>
        </w:rPr>
        <w:t xml:space="preserve">.  </w:t>
      </w:r>
      <w:r w:rsidR="00E8622D" w:rsidRPr="00D27CF3">
        <w:rPr>
          <w:rFonts w:ascii="Garamond" w:eastAsia="Times New Roman" w:hAnsi="Garamond"/>
          <w:sz w:val="24"/>
          <w:szCs w:val="24"/>
        </w:rPr>
        <w:t>Historically, many localities have required new developments to underground electrical wires</w:t>
      </w:r>
      <w:r w:rsidR="00935470">
        <w:rPr>
          <w:rFonts w:ascii="Garamond" w:eastAsia="Times New Roman" w:hAnsi="Garamond"/>
          <w:sz w:val="24"/>
          <w:szCs w:val="24"/>
        </w:rPr>
        <w:t xml:space="preserve">.  </w:t>
      </w:r>
      <w:r w:rsidR="00E8622D" w:rsidRPr="00D27CF3">
        <w:rPr>
          <w:rFonts w:ascii="Garamond" w:eastAsia="Times New Roman" w:hAnsi="Garamond"/>
          <w:sz w:val="24"/>
          <w:szCs w:val="24"/>
        </w:rPr>
        <w:t xml:space="preserve">Undergrounded wires typically do not require deenergization due to wildfire risk. </w:t>
      </w:r>
    </w:p>
    <w:p w14:paraId="1E304548" w14:textId="214AF5E4" w:rsidR="00A21B3F" w:rsidRPr="00D27CF3" w:rsidRDefault="005977C5" w:rsidP="00C115EF">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Currently, large swaths of urban area fall within the same high fire threat Tier 2 and 3 zones as forested geographies</w:t>
      </w:r>
      <w:r w:rsidR="00935470">
        <w:rPr>
          <w:rFonts w:ascii="Garamond" w:eastAsia="Times New Roman" w:hAnsi="Garamond"/>
          <w:sz w:val="24"/>
          <w:szCs w:val="24"/>
        </w:rPr>
        <w:t xml:space="preserve">.  </w:t>
      </w:r>
      <w:r w:rsidR="004B578D" w:rsidRPr="00D27CF3">
        <w:rPr>
          <w:rFonts w:ascii="Garamond" w:eastAsia="Times New Roman" w:hAnsi="Garamond"/>
          <w:sz w:val="24"/>
          <w:szCs w:val="24"/>
        </w:rPr>
        <w:t>Meaning, many urban areas that are not part of the wildland urban interface are included in Tier 2 and 3 zones.  These non-wildland urban interface areas should be identified as they may not require the same wildfire mitigation strategies as Tier 2 and 3 zones.</w:t>
      </w:r>
    </w:p>
    <w:p w14:paraId="6DB1361F" w14:textId="3D36F03F" w:rsidR="005977C5" w:rsidRDefault="005977C5" w:rsidP="00B23803">
      <w:pPr>
        <w:pStyle w:val="ListParagraph"/>
        <w:numPr>
          <w:ilvl w:val="0"/>
          <w:numId w:val="11"/>
        </w:numPr>
        <w:ind w:left="360"/>
        <w:contextualSpacing w:val="0"/>
        <w:rPr>
          <w:rFonts w:ascii="Garamond" w:eastAsia="Times New Roman" w:hAnsi="Garamond"/>
          <w:sz w:val="24"/>
          <w:szCs w:val="24"/>
        </w:rPr>
      </w:pPr>
      <w:r w:rsidRPr="00D27CF3">
        <w:rPr>
          <w:rFonts w:ascii="Garamond" w:eastAsia="Times New Roman" w:hAnsi="Garamond"/>
          <w:sz w:val="24"/>
          <w:szCs w:val="24"/>
        </w:rPr>
        <w:t xml:space="preserve">If a transmission or distribution line does pose a high fire risk, the utility and the California Independent System Operator should consider prioritizing switching the generation source so that a community that is downstream </w:t>
      </w:r>
      <w:r w:rsidR="00B7621E" w:rsidRPr="00D27CF3">
        <w:rPr>
          <w:rFonts w:ascii="Garamond" w:eastAsia="Times New Roman" w:hAnsi="Garamond"/>
          <w:sz w:val="24"/>
          <w:szCs w:val="24"/>
        </w:rPr>
        <w:t xml:space="preserve">from </w:t>
      </w:r>
      <w:r w:rsidR="00BC55D2" w:rsidRPr="00D27CF3">
        <w:rPr>
          <w:rFonts w:ascii="Garamond" w:eastAsia="Times New Roman" w:hAnsi="Garamond"/>
          <w:sz w:val="24"/>
          <w:szCs w:val="24"/>
        </w:rPr>
        <w:t>the high risk li</w:t>
      </w:r>
      <w:r w:rsidR="00FC216F">
        <w:rPr>
          <w:rFonts w:ascii="Garamond" w:eastAsia="Times New Roman" w:hAnsi="Garamond"/>
          <w:sz w:val="24"/>
          <w:szCs w:val="24"/>
        </w:rPr>
        <w:t>n</w:t>
      </w:r>
      <w:r w:rsidR="00BC55D2" w:rsidRPr="00D27CF3">
        <w:rPr>
          <w:rFonts w:ascii="Garamond" w:eastAsia="Times New Roman" w:hAnsi="Garamond"/>
          <w:sz w:val="24"/>
          <w:szCs w:val="24"/>
        </w:rPr>
        <w:t xml:space="preserve">e </w:t>
      </w:r>
      <w:r w:rsidRPr="00D27CF3">
        <w:rPr>
          <w:rFonts w:ascii="Garamond" w:eastAsia="Times New Roman" w:hAnsi="Garamond"/>
          <w:sz w:val="24"/>
          <w:szCs w:val="24"/>
        </w:rPr>
        <w:t xml:space="preserve">can continue to receive utility service and be excluded from PSPS events that are potentially unnecessary in </w:t>
      </w:r>
      <w:r w:rsidR="000D381A" w:rsidRPr="00D27CF3">
        <w:rPr>
          <w:rFonts w:ascii="Garamond" w:eastAsia="Times New Roman" w:hAnsi="Garamond"/>
          <w:sz w:val="24"/>
          <w:szCs w:val="24"/>
        </w:rPr>
        <w:t>that location</w:t>
      </w:r>
      <w:r w:rsidRPr="00D27CF3">
        <w:rPr>
          <w:rFonts w:ascii="Garamond" w:eastAsia="Times New Roman" w:hAnsi="Garamond"/>
          <w:sz w:val="24"/>
          <w:szCs w:val="24"/>
        </w:rPr>
        <w:t>.  The utilities should consider prioritizing maintaining electric supply to downstream communities</w:t>
      </w:r>
      <w:r w:rsidR="005B3445" w:rsidRPr="00D27CF3">
        <w:rPr>
          <w:rFonts w:ascii="Garamond" w:eastAsia="Times New Roman" w:hAnsi="Garamond"/>
          <w:sz w:val="24"/>
          <w:szCs w:val="24"/>
        </w:rPr>
        <w:t xml:space="preserve"> that do not pose a high fire risk</w:t>
      </w:r>
      <w:r w:rsidRPr="00D27CF3">
        <w:rPr>
          <w:rFonts w:ascii="Garamond" w:eastAsia="Times New Roman" w:hAnsi="Garamond"/>
          <w:sz w:val="24"/>
          <w:szCs w:val="24"/>
        </w:rPr>
        <w:t xml:space="preserve">, while still deenergizing those overhead circuits </w:t>
      </w:r>
      <w:r w:rsidR="005B3445" w:rsidRPr="00D27CF3">
        <w:rPr>
          <w:rFonts w:ascii="Garamond" w:eastAsia="Times New Roman" w:hAnsi="Garamond"/>
          <w:sz w:val="24"/>
          <w:szCs w:val="24"/>
        </w:rPr>
        <w:t>that do pose a risk.</w:t>
      </w:r>
      <w:r w:rsidRPr="00D27CF3">
        <w:rPr>
          <w:rFonts w:ascii="Garamond" w:eastAsia="Times New Roman" w:hAnsi="Garamond"/>
          <w:sz w:val="24"/>
          <w:szCs w:val="24"/>
        </w:rPr>
        <w:t xml:space="preserve">  </w:t>
      </w:r>
    </w:p>
    <w:p w14:paraId="7FAB7FD1" w14:textId="2DE5E49D" w:rsidR="004734EB" w:rsidRPr="009B62AA" w:rsidRDefault="00A462A4" w:rsidP="00C115EF">
      <w:pPr>
        <w:pStyle w:val="ListParagraph"/>
        <w:numPr>
          <w:ilvl w:val="0"/>
          <w:numId w:val="11"/>
        </w:numPr>
        <w:spacing w:after="0"/>
        <w:ind w:left="360"/>
        <w:contextualSpacing w:val="0"/>
        <w:rPr>
          <w:rFonts w:ascii="Garamond" w:eastAsia="Times New Roman" w:hAnsi="Garamond"/>
          <w:color w:val="FF0000"/>
          <w:sz w:val="24"/>
          <w:szCs w:val="24"/>
        </w:rPr>
      </w:pPr>
      <w:r w:rsidRPr="009B62AA">
        <w:rPr>
          <w:rFonts w:ascii="Garamond" w:eastAsia="Times New Roman" w:hAnsi="Garamond"/>
          <w:color w:val="FF0000"/>
          <w:sz w:val="24"/>
          <w:szCs w:val="24"/>
        </w:rPr>
        <w:t xml:space="preserve">As discussed throughout these </w:t>
      </w:r>
      <w:r w:rsidR="004402A7" w:rsidRPr="009B62AA">
        <w:rPr>
          <w:rFonts w:ascii="Garamond" w:eastAsia="Times New Roman" w:hAnsi="Garamond"/>
          <w:color w:val="FF0000"/>
          <w:sz w:val="24"/>
          <w:szCs w:val="24"/>
        </w:rPr>
        <w:t>recommendations</w:t>
      </w:r>
      <w:r w:rsidR="00D6204E" w:rsidRPr="009B62AA">
        <w:rPr>
          <w:rFonts w:ascii="Garamond" w:eastAsia="Times New Roman" w:hAnsi="Garamond"/>
          <w:color w:val="FF0000"/>
          <w:sz w:val="24"/>
          <w:szCs w:val="24"/>
        </w:rPr>
        <w:t>, the</w:t>
      </w:r>
      <w:r w:rsidR="004734EB" w:rsidRPr="009B62AA">
        <w:rPr>
          <w:rFonts w:ascii="Garamond" w:eastAsia="Times New Roman" w:hAnsi="Garamond"/>
          <w:color w:val="FF0000"/>
          <w:sz w:val="24"/>
          <w:szCs w:val="24"/>
        </w:rPr>
        <w:t xml:space="preserve"> global COVID-19 pandemic has changed how we as a society do business</w:t>
      </w:r>
      <w:r w:rsidR="00D6204E" w:rsidRPr="009B62AA">
        <w:rPr>
          <w:rFonts w:ascii="Garamond" w:eastAsia="Times New Roman" w:hAnsi="Garamond"/>
          <w:color w:val="FF0000"/>
          <w:sz w:val="24"/>
          <w:szCs w:val="24"/>
        </w:rPr>
        <w:t xml:space="preserve">.  </w:t>
      </w:r>
      <w:r w:rsidR="00EC516F" w:rsidRPr="009B62AA">
        <w:rPr>
          <w:rFonts w:ascii="Garamond" w:eastAsia="Times New Roman" w:hAnsi="Garamond"/>
          <w:color w:val="FF0000"/>
          <w:sz w:val="24"/>
          <w:szCs w:val="24"/>
        </w:rPr>
        <w:t>The utilities should</w:t>
      </w:r>
      <w:r w:rsidR="00AB1DE8" w:rsidRPr="009B62AA">
        <w:rPr>
          <w:rFonts w:ascii="Garamond" w:eastAsia="Times New Roman" w:hAnsi="Garamond"/>
          <w:color w:val="FF0000"/>
          <w:sz w:val="24"/>
          <w:szCs w:val="24"/>
        </w:rPr>
        <w:t xml:space="preserve"> </w:t>
      </w:r>
      <w:r w:rsidR="003142D8" w:rsidRPr="009B62AA">
        <w:rPr>
          <w:rFonts w:ascii="Garamond" w:eastAsia="Times New Roman" w:hAnsi="Garamond"/>
          <w:color w:val="FF0000"/>
          <w:sz w:val="24"/>
          <w:szCs w:val="24"/>
        </w:rPr>
        <w:t>proceed with all due haste with</w:t>
      </w:r>
      <w:r w:rsidR="00D6204E" w:rsidRPr="009B62AA">
        <w:rPr>
          <w:rFonts w:ascii="Garamond" w:eastAsia="Times New Roman" w:hAnsi="Garamond"/>
          <w:color w:val="FF0000"/>
          <w:sz w:val="24"/>
          <w:szCs w:val="24"/>
        </w:rPr>
        <w:t xml:space="preserve"> efforts to</w:t>
      </w:r>
      <w:r w:rsidR="004734EB" w:rsidRPr="009B62AA">
        <w:rPr>
          <w:rFonts w:ascii="Garamond" w:eastAsia="Times New Roman" w:hAnsi="Garamond"/>
          <w:color w:val="FF0000"/>
          <w:sz w:val="24"/>
          <w:szCs w:val="24"/>
        </w:rPr>
        <w:t xml:space="preserve"> </w:t>
      </w:r>
      <w:r w:rsidR="00D6204E" w:rsidRPr="009B62AA">
        <w:rPr>
          <w:rFonts w:ascii="Garamond" w:eastAsia="Times New Roman" w:hAnsi="Garamond"/>
          <w:color w:val="FF0000"/>
          <w:sz w:val="24"/>
          <w:szCs w:val="24"/>
        </w:rPr>
        <w:t xml:space="preserve">reduce the number of PSPS events, shorten PSPS event duration, and ensure that re-energization occurs more quickly.  </w:t>
      </w:r>
      <w:r w:rsidR="0031127C" w:rsidRPr="009B62AA">
        <w:rPr>
          <w:rFonts w:ascii="Garamond" w:eastAsia="Times New Roman" w:hAnsi="Garamond"/>
          <w:color w:val="FF0000"/>
          <w:sz w:val="24"/>
          <w:szCs w:val="24"/>
        </w:rPr>
        <w:t xml:space="preserve">Analyzing fire maps is one tool the utilities could use to </w:t>
      </w:r>
      <w:r w:rsidR="00DB4327" w:rsidRPr="009B62AA">
        <w:rPr>
          <w:rFonts w:ascii="Garamond" w:eastAsia="Times New Roman" w:hAnsi="Garamond"/>
          <w:color w:val="FF0000"/>
          <w:sz w:val="24"/>
          <w:szCs w:val="24"/>
        </w:rPr>
        <w:t>expedite</w:t>
      </w:r>
      <w:r w:rsidR="0031127C" w:rsidRPr="009B62AA">
        <w:rPr>
          <w:rFonts w:ascii="Garamond" w:eastAsia="Times New Roman" w:hAnsi="Garamond"/>
          <w:color w:val="FF0000"/>
          <w:sz w:val="24"/>
          <w:szCs w:val="24"/>
        </w:rPr>
        <w:t xml:space="preserve"> this goal. </w:t>
      </w:r>
    </w:p>
    <w:p w14:paraId="4EB935F5" w14:textId="77777777" w:rsidR="005977C5" w:rsidRPr="00D27CF3" w:rsidRDefault="005977C5" w:rsidP="00C115EF">
      <w:pPr>
        <w:spacing w:after="0"/>
        <w:rPr>
          <w:rFonts w:ascii="Century Gothic" w:eastAsia="Times New Roman" w:hAnsi="Century Gothic"/>
        </w:rPr>
      </w:pPr>
    </w:p>
    <w:p w14:paraId="3257E566" w14:textId="77777777" w:rsidR="005977C5" w:rsidRPr="00D27CF3" w:rsidRDefault="005977C5" w:rsidP="00C115EF">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40DED27F" w14:textId="58617BE3" w:rsidR="00C5654F" w:rsidRPr="00790C68" w:rsidRDefault="00C5654F" w:rsidP="00C115EF">
      <w:pPr>
        <w:pStyle w:val="ListParagraph"/>
        <w:numPr>
          <w:ilvl w:val="0"/>
          <w:numId w:val="15"/>
        </w:numPr>
        <w:contextualSpacing w:val="0"/>
        <w:rPr>
          <w:rFonts w:ascii="Century Gothic" w:eastAsia="Times New Roman" w:hAnsi="Century Gothic"/>
          <w:color w:val="000000"/>
        </w:rPr>
      </w:pPr>
      <w:r>
        <w:rPr>
          <w:rFonts w:ascii="Garamond" w:eastAsia="Times New Roman" w:hAnsi="Garamond"/>
          <w:color w:val="000000"/>
          <w:sz w:val="24"/>
          <w:szCs w:val="24"/>
        </w:rPr>
        <w:t xml:space="preserve">An analysis with the HFTD maps that identifies segments of the grid that will be excluded from PSPS events because they pose less fire risk due to </w:t>
      </w:r>
      <w:r w:rsidR="001B2FED">
        <w:rPr>
          <w:rFonts w:ascii="Garamond" w:eastAsia="Times New Roman" w:hAnsi="Garamond"/>
          <w:color w:val="000000"/>
          <w:sz w:val="24"/>
          <w:szCs w:val="24"/>
        </w:rPr>
        <w:t>(1) undergrounding,</w:t>
      </w:r>
      <w:r>
        <w:rPr>
          <w:rFonts w:ascii="Garamond" w:eastAsia="Times New Roman" w:hAnsi="Garamond"/>
          <w:color w:val="000000"/>
          <w:sz w:val="24"/>
          <w:szCs w:val="24"/>
        </w:rPr>
        <w:t xml:space="preserve"> </w:t>
      </w:r>
      <w:r w:rsidR="001B2FED">
        <w:rPr>
          <w:rFonts w:ascii="Garamond" w:eastAsia="Times New Roman" w:hAnsi="Garamond"/>
          <w:color w:val="000000"/>
          <w:sz w:val="24"/>
          <w:szCs w:val="24"/>
        </w:rPr>
        <w:t xml:space="preserve">(2) </w:t>
      </w:r>
      <w:r>
        <w:rPr>
          <w:rFonts w:ascii="Garamond" w:eastAsia="Times New Roman" w:hAnsi="Garamond"/>
          <w:color w:val="000000"/>
          <w:sz w:val="24"/>
          <w:szCs w:val="24"/>
        </w:rPr>
        <w:t>significant hardening measures</w:t>
      </w:r>
      <w:r w:rsidR="001B2FED">
        <w:rPr>
          <w:rFonts w:ascii="Garamond" w:eastAsia="Times New Roman" w:hAnsi="Garamond"/>
          <w:color w:val="000000"/>
          <w:sz w:val="24"/>
          <w:szCs w:val="24"/>
        </w:rPr>
        <w:t xml:space="preserve">, or (3) location </w:t>
      </w:r>
      <w:r w:rsidR="005478D9">
        <w:rPr>
          <w:rFonts w:ascii="Garamond" w:eastAsia="Times New Roman" w:hAnsi="Garamond"/>
          <w:color w:val="000000"/>
          <w:sz w:val="24"/>
          <w:szCs w:val="24"/>
        </w:rPr>
        <w:t>in an urban area outside the wildland urban interface</w:t>
      </w:r>
      <w:r>
        <w:rPr>
          <w:rFonts w:ascii="Garamond" w:eastAsia="Times New Roman" w:hAnsi="Garamond"/>
          <w:color w:val="000000"/>
          <w:sz w:val="24"/>
          <w:szCs w:val="24"/>
        </w:rPr>
        <w:t xml:space="preserve">. </w:t>
      </w:r>
    </w:p>
    <w:p w14:paraId="68A6BCEE" w14:textId="3A8B8E6F" w:rsidR="005977C5" w:rsidRPr="00D27CF3" w:rsidRDefault="00A8247E" w:rsidP="00C115EF">
      <w:pPr>
        <w:pStyle w:val="ListParagraph"/>
        <w:numPr>
          <w:ilvl w:val="0"/>
          <w:numId w:val="11"/>
        </w:numPr>
        <w:spacing w:after="0"/>
        <w:ind w:left="360"/>
        <w:contextualSpacing w:val="0"/>
        <w:rPr>
          <w:rFonts w:ascii="Garamond" w:eastAsia="Times New Roman" w:hAnsi="Garamond"/>
          <w:sz w:val="24"/>
          <w:szCs w:val="24"/>
        </w:rPr>
      </w:pPr>
      <w:r w:rsidRPr="004E12F4">
        <w:rPr>
          <w:rFonts w:ascii="Garamond" w:eastAsia="Times New Roman" w:hAnsi="Garamond"/>
          <w:color w:val="000000"/>
          <w:sz w:val="24"/>
          <w:szCs w:val="24"/>
        </w:rPr>
        <w:t>Operating plans that include s</w:t>
      </w:r>
      <w:r w:rsidR="00C5654F" w:rsidRPr="004E12F4">
        <w:rPr>
          <w:rFonts w:ascii="Garamond" w:eastAsia="Times New Roman" w:hAnsi="Garamond"/>
          <w:color w:val="000000"/>
          <w:sz w:val="24"/>
          <w:szCs w:val="24"/>
        </w:rPr>
        <w:t>witching generation sources during PSPS events in cases where such action would allow a community that is downstream from high fire risk areas, to continue to receive utility service</w:t>
      </w:r>
      <w:r w:rsidR="00935470">
        <w:rPr>
          <w:rFonts w:ascii="Garamond" w:eastAsia="Times New Roman" w:hAnsi="Garamond"/>
          <w:color w:val="000000"/>
          <w:sz w:val="24"/>
          <w:szCs w:val="24"/>
        </w:rPr>
        <w:t xml:space="preserve">.  </w:t>
      </w:r>
      <w:r w:rsidR="00135343" w:rsidRPr="004E12F4">
        <w:rPr>
          <w:rFonts w:ascii="Garamond" w:eastAsia="Times New Roman" w:hAnsi="Garamond"/>
          <w:color w:val="000000"/>
          <w:sz w:val="24"/>
          <w:szCs w:val="24"/>
        </w:rPr>
        <w:t xml:space="preserve">Some procedural vehicle may need to be found because </w:t>
      </w:r>
      <w:r w:rsidR="00135343">
        <w:rPr>
          <w:rFonts w:ascii="Garamond" w:eastAsia="Times New Roman" w:hAnsi="Garamond"/>
          <w:sz w:val="24"/>
          <w:szCs w:val="24"/>
        </w:rPr>
        <w:t>a</w:t>
      </w:r>
      <w:r w:rsidR="005977C5" w:rsidRPr="00D27CF3">
        <w:rPr>
          <w:rFonts w:ascii="Garamond" w:eastAsia="Times New Roman" w:hAnsi="Garamond"/>
          <w:sz w:val="24"/>
          <w:szCs w:val="24"/>
        </w:rPr>
        <w:t xml:space="preserve"> rule change may be required to permit utilities to change generation source in emergency circumstances. </w:t>
      </w:r>
    </w:p>
    <w:p w14:paraId="5FAAD9E4" w14:textId="77777777" w:rsidR="005977C5" w:rsidRDefault="005977C5" w:rsidP="00C115EF"/>
    <w:p w14:paraId="3875DB17" w14:textId="77777777" w:rsidR="005977C5" w:rsidRPr="004600A0" w:rsidRDefault="005977C5" w:rsidP="00C115EF">
      <w:r>
        <w:br w:type="page"/>
      </w:r>
    </w:p>
    <w:p w14:paraId="13BF5932" w14:textId="1BADAD43" w:rsidR="00306973" w:rsidRPr="00D27CF3" w:rsidRDefault="003325D0" w:rsidP="00C115EF">
      <w:pPr>
        <w:pStyle w:val="Heading1"/>
      </w:pPr>
      <w:bookmarkStart w:id="20" w:name="_Toc36750070"/>
      <w:r w:rsidRPr="00D27CF3">
        <w:t>1</w:t>
      </w:r>
      <w:r w:rsidR="000E488A">
        <w:t>0</w:t>
      </w:r>
      <w:r w:rsidRPr="00D27CF3">
        <w:t xml:space="preserve">. </w:t>
      </w:r>
      <w:bookmarkEnd w:id="19"/>
      <w:r w:rsidR="008C49A2" w:rsidRPr="00D27CF3">
        <w:t xml:space="preserve">Risk Spend Efficiency and </w:t>
      </w:r>
      <w:r w:rsidR="0020785F" w:rsidRPr="00D27CF3">
        <w:t>Costs of PSPS Events</w:t>
      </w:r>
      <w:bookmarkEnd w:id="20"/>
    </w:p>
    <w:p w14:paraId="3B2B0553" w14:textId="77777777" w:rsidR="003037F3" w:rsidRPr="00D27CF3" w:rsidRDefault="003037F3" w:rsidP="00C115EF">
      <w:pPr>
        <w:spacing w:after="0"/>
        <w:rPr>
          <w:rFonts w:ascii="Century Gothic" w:eastAsia="Times New Roman" w:hAnsi="Century Gothic"/>
          <w:sz w:val="8"/>
          <w:szCs w:val="8"/>
        </w:rPr>
      </w:pP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306973" w:rsidRPr="007C7BDA" w14:paraId="00BA6396" w14:textId="77777777" w:rsidTr="003325D0">
        <w:trPr>
          <w:trHeight w:val="436"/>
          <w:jc w:val="center"/>
        </w:trPr>
        <w:tc>
          <w:tcPr>
            <w:tcW w:w="6480" w:type="dxa"/>
            <w:gridSpan w:val="2"/>
            <w:tcBorders>
              <w:bottom w:val="single" w:sz="12" w:space="0" w:color="8496B0" w:themeColor="text2" w:themeTint="99"/>
            </w:tcBorders>
            <w:shd w:val="clear" w:color="auto" w:fill="D9E2F3" w:themeFill="accent1" w:themeFillTint="33"/>
          </w:tcPr>
          <w:p w14:paraId="390EB184" w14:textId="047224C0" w:rsidR="00306973" w:rsidRPr="007C7BDA" w:rsidRDefault="00306973" w:rsidP="00C115EF">
            <w:pPr>
              <w:spacing w:before="60"/>
              <w:ind w:left="432"/>
              <w:rPr>
                <w:rFonts w:ascii="Garamond" w:hAnsi="Garamond"/>
              </w:rPr>
            </w:pPr>
            <w:r w:rsidRPr="007C7BDA">
              <w:rPr>
                <w:b/>
                <w:bCs/>
                <w:noProof/>
              </w:rPr>
              <w:drawing>
                <wp:anchor distT="0" distB="0" distL="114300" distR="114300" simplePos="0" relativeHeight="251658261" behindDoc="0" locked="0" layoutInCell="1" allowOverlap="0" wp14:anchorId="09729AED" wp14:editId="0CAE2DB3">
                  <wp:simplePos x="0" y="0"/>
                  <wp:positionH relativeFrom="leftMargin">
                    <wp:posOffset>59690</wp:posOffset>
                  </wp:positionH>
                  <wp:positionV relativeFrom="paragraph">
                    <wp:posOffset>5927</wp:posOffset>
                  </wp:positionV>
                  <wp:extent cx="246888" cy="246888"/>
                  <wp:effectExtent l="0" t="0" r="1270" b="1270"/>
                  <wp:wrapNone/>
                  <wp:docPr id="54" name="Graphic 54"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319656873"/>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1879304020"/>
                <w14:checkbox>
                  <w14:checked w14:val="0"/>
                  <w14:checkedState w14:val="2612" w14:font="MS Gothic"/>
                  <w14:uncheckedState w14:val="2610" w14:font="MS Gothic"/>
                </w14:checkbox>
              </w:sdtPr>
              <w:sdtEndPr/>
              <w:sdtContent>
                <w:r w:rsidRPr="007C7BDA">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876999435"/>
                <w14:checkbox>
                  <w14:checked w14:val="0"/>
                  <w14:checkedState w14:val="2612" w14:font="MS Gothic"/>
                  <w14:uncheckedState w14:val="2610" w14:font="MS Gothic"/>
                </w14:checkbox>
              </w:sdtPr>
              <w:sdtEndPr/>
              <w:sdtContent>
                <w:r w:rsidR="008E0FF5">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1482115062"/>
                <w14:checkbox>
                  <w14:checked w14:val="1"/>
                  <w14:checkedState w14:val="2612" w14:font="MS Gothic"/>
                  <w14:uncheckedState w14:val="2610" w14:font="MS Gothic"/>
                </w14:checkbox>
              </w:sdtPr>
              <w:sdtEndPr/>
              <w:sdtContent>
                <w:r w:rsidR="008E0FF5">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03BCE56E" w14:textId="5D7814B8" w:rsidR="00306973" w:rsidRPr="007C7BDA" w:rsidRDefault="00306973" w:rsidP="00C115EF">
            <w:pPr>
              <w:spacing w:before="60"/>
              <w:ind w:left="-15"/>
              <w:rPr>
                <w:rFonts w:ascii="Garamond" w:hAnsi="Garamond"/>
              </w:rPr>
            </w:pPr>
            <w:r>
              <w:rPr>
                <w:rFonts w:ascii="Garamond" w:hAnsi="Garamond"/>
                <w:noProof/>
              </w:rPr>
              <w:drawing>
                <wp:anchor distT="0" distB="0" distL="114300" distR="114300" simplePos="0" relativeHeight="251658262" behindDoc="0" locked="0" layoutInCell="1" allowOverlap="1" wp14:anchorId="111BD6F7" wp14:editId="74127847">
                  <wp:simplePos x="0" y="0"/>
                  <wp:positionH relativeFrom="column">
                    <wp:posOffset>-28575</wp:posOffset>
                  </wp:positionH>
                  <wp:positionV relativeFrom="paragraph">
                    <wp:posOffset>-20320</wp:posOffset>
                  </wp:positionV>
                  <wp:extent cx="295275" cy="295275"/>
                  <wp:effectExtent l="0" t="0" r="0" b="0"/>
                  <wp:wrapNone/>
                  <wp:docPr id="55" name="Graphic 55"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AD461B">
              <w:rPr>
                <w:rFonts w:ascii="Garamond" w:hAnsi="Garamond"/>
              </w:rPr>
              <w:t>1</w:t>
            </w:r>
            <w:r w:rsidR="000E488A">
              <w:rPr>
                <w:rFonts w:ascii="Garamond" w:hAnsi="Garamond"/>
              </w:rPr>
              <w:t>0</w:t>
            </w:r>
          </w:p>
        </w:tc>
      </w:tr>
      <w:tr w:rsidR="00306973" w14:paraId="3C7A5439" w14:textId="77777777" w:rsidTr="003325D0">
        <w:trPr>
          <w:trHeight w:val="79"/>
          <w:jc w:val="center"/>
        </w:trPr>
        <w:tc>
          <w:tcPr>
            <w:tcW w:w="9630" w:type="dxa"/>
            <w:gridSpan w:val="3"/>
            <w:tcBorders>
              <w:left w:val="nil"/>
              <w:bottom w:val="single" w:sz="12" w:space="0" w:color="8496B0" w:themeColor="text2" w:themeTint="99"/>
              <w:right w:val="nil"/>
            </w:tcBorders>
          </w:tcPr>
          <w:p w14:paraId="098B34EE" w14:textId="77777777" w:rsidR="00306973" w:rsidRPr="00D27CF3" w:rsidRDefault="00306973" w:rsidP="00855C71">
            <w:pPr>
              <w:rPr>
                <w:rFonts w:eastAsia="Times New Roman" w:cstheme="minorHAnsi"/>
                <w:sz w:val="8"/>
                <w:szCs w:val="8"/>
              </w:rPr>
            </w:pPr>
          </w:p>
        </w:tc>
      </w:tr>
      <w:tr w:rsidR="00306973" w14:paraId="1366ABBF" w14:textId="77777777" w:rsidTr="003325D0">
        <w:trPr>
          <w:trHeight w:val="285"/>
          <w:jc w:val="center"/>
        </w:trPr>
        <w:tc>
          <w:tcPr>
            <w:tcW w:w="9630" w:type="dxa"/>
            <w:gridSpan w:val="3"/>
            <w:tcBorders>
              <w:bottom w:val="nil"/>
            </w:tcBorders>
            <w:shd w:val="clear" w:color="auto" w:fill="D9E2F3" w:themeFill="accent1" w:themeFillTint="33"/>
          </w:tcPr>
          <w:p w14:paraId="3BFDD1CE" w14:textId="77777777" w:rsidR="00306973" w:rsidRPr="00D27CF3" w:rsidRDefault="00306973"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306973" w14:paraId="57E792A6" w14:textId="77777777" w:rsidTr="003325D0">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64D7850B"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53503574"/>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p w14:paraId="3B17DBDA"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263379971"/>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1D5A0068" w14:textId="77777777" w:rsidR="00306973" w:rsidRPr="00D27CF3" w:rsidRDefault="00306973"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20CE50D4"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89745464"/>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 incl. Risk Spend Efficiency</w:t>
            </w:r>
          </w:p>
          <w:p w14:paraId="25FF8D97" w14:textId="77777777" w:rsidR="00306973"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999029080"/>
                <w14:checkbox>
                  <w14:checked w14:val="0"/>
                  <w14:checkedState w14:val="2612" w14:font="MS Gothic"/>
                  <w14:uncheckedState w14:val="2610" w14:font="MS Gothic"/>
                </w14:checkbox>
              </w:sdtPr>
              <w:sdtEndPr/>
              <w:sdtContent>
                <w:r w:rsidR="00306973" w:rsidRPr="00D27CF3">
                  <w:rPr>
                    <w:rFonts w:ascii="MS Gothic" w:eastAsia="MS Gothic" w:hAnsi="MS Gothic" w:cs="Segoe UI Symbol" w:hint="eastAsia"/>
                    <w:sz w:val="20"/>
                    <w:szCs w:val="20"/>
                  </w:rPr>
                  <w:t>☐</w:t>
                </w:r>
              </w:sdtContent>
            </w:sdt>
            <w:r w:rsidR="00306973" w:rsidRPr="00D27CF3">
              <w:rPr>
                <w:rFonts w:ascii="Garamond" w:eastAsia="Times New Roman" w:hAnsi="Garamond"/>
                <w:sz w:val="20"/>
                <w:szCs w:val="20"/>
              </w:rPr>
              <w:t xml:space="preserve"> Communication with the community, planning, preparedness and recovery after PSPS events</w:t>
            </w:r>
          </w:p>
        </w:tc>
      </w:tr>
      <w:tr w:rsidR="00306973" w14:paraId="7EECA3D8" w14:textId="77777777" w:rsidTr="003325D0">
        <w:trPr>
          <w:trHeight w:val="43"/>
          <w:jc w:val="center"/>
        </w:trPr>
        <w:tc>
          <w:tcPr>
            <w:tcW w:w="9630" w:type="dxa"/>
            <w:gridSpan w:val="3"/>
            <w:tcBorders>
              <w:left w:val="nil"/>
              <w:bottom w:val="single" w:sz="12" w:space="0" w:color="8496B0" w:themeColor="text2" w:themeTint="99"/>
              <w:right w:val="nil"/>
            </w:tcBorders>
          </w:tcPr>
          <w:p w14:paraId="69F1DE5E" w14:textId="77777777" w:rsidR="00306973" w:rsidRPr="00D27CF3" w:rsidRDefault="00306973" w:rsidP="00855C71">
            <w:pPr>
              <w:spacing w:line="276" w:lineRule="auto"/>
              <w:rPr>
                <w:rFonts w:eastAsia="Times New Roman" w:cstheme="minorHAnsi"/>
                <w:sz w:val="8"/>
                <w:szCs w:val="8"/>
              </w:rPr>
            </w:pPr>
          </w:p>
        </w:tc>
      </w:tr>
      <w:tr w:rsidR="00306973" w14:paraId="31F79F5E" w14:textId="77777777" w:rsidTr="003325D0">
        <w:trPr>
          <w:trHeight w:val="43"/>
          <w:jc w:val="center"/>
        </w:trPr>
        <w:tc>
          <w:tcPr>
            <w:tcW w:w="9630" w:type="dxa"/>
            <w:gridSpan w:val="3"/>
            <w:tcBorders>
              <w:bottom w:val="nil"/>
            </w:tcBorders>
            <w:shd w:val="clear" w:color="auto" w:fill="D9E2F3" w:themeFill="accent1" w:themeFillTint="33"/>
          </w:tcPr>
          <w:p w14:paraId="5756A4A8" w14:textId="77777777" w:rsidR="00306973" w:rsidRPr="007C7BDA" w:rsidRDefault="00306973"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306973" w14:paraId="6C10E1B1" w14:textId="77777777" w:rsidTr="003325D0">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03A9A6EE"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267079599"/>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Risk assessment and mapping</w:t>
            </w:r>
          </w:p>
          <w:p w14:paraId="1E759A68"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551431744"/>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Situational awareness and forecasting</w:t>
            </w:r>
          </w:p>
          <w:p w14:paraId="20B14620"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792817657"/>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4BDBF1E5"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363098443"/>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Asset management and inspections</w:t>
            </w:r>
          </w:p>
          <w:p w14:paraId="4FDBC7D7"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78552029"/>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3D8E614A"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995167235"/>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operations and protocols</w:t>
            </w:r>
          </w:p>
          <w:p w14:paraId="1A373A16"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817697197"/>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Data governance</w:t>
            </w:r>
          </w:p>
          <w:p w14:paraId="53BC2E8A"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703754835"/>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w:t>
            </w:r>
          </w:p>
          <w:p w14:paraId="75524816"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810467279"/>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Emergency planning and preparedness</w:t>
            </w:r>
          </w:p>
          <w:p w14:paraId="70A459AB" w14:textId="77777777" w:rsidR="00306973" w:rsidRPr="009D23C5" w:rsidRDefault="00E20D41" w:rsidP="00C115EF">
            <w:pPr>
              <w:spacing w:before="60" w:line="276" w:lineRule="auto"/>
              <w:ind w:left="360"/>
              <w:rPr>
                <w:rFonts w:ascii="Garamond" w:hAnsi="Garamond"/>
                <w:b/>
                <w:bCs/>
                <w:sz w:val="20"/>
                <w:szCs w:val="20"/>
              </w:rPr>
            </w:pPr>
            <w:sdt>
              <w:sdtPr>
                <w:rPr>
                  <w:rFonts w:ascii="Garamond" w:eastAsia="Times New Roman" w:hAnsi="Garamond"/>
                  <w:sz w:val="20"/>
                  <w:szCs w:val="20"/>
                </w:rPr>
                <w:id w:val="2110390501"/>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Stakeholder cooperation and community engagement</w:t>
            </w:r>
          </w:p>
        </w:tc>
      </w:tr>
      <w:tr w:rsidR="00306973" w14:paraId="0022F2A3" w14:textId="77777777" w:rsidTr="003325D0">
        <w:trPr>
          <w:trHeight w:val="51"/>
          <w:jc w:val="center"/>
        </w:trPr>
        <w:tc>
          <w:tcPr>
            <w:tcW w:w="9630" w:type="dxa"/>
            <w:gridSpan w:val="3"/>
            <w:tcBorders>
              <w:left w:val="nil"/>
              <w:right w:val="nil"/>
            </w:tcBorders>
          </w:tcPr>
          <w:p w14:paraId="5EAF24C8" w14:textId="77777777" w:rsidR="00306973" w:rsidRPr="007D218D" w:rsidRDefault="00306973" w:rsidP="00855C71">
            <w:pPr>
              <w:rPr>
                <w:rFonts w:cstheme="minorHAnsi"/>
                <w:sz w:val="8"/>
                <w:szCs w:val="8"/>
              </w:rPr>
            </w:pPr>
          </w:p>
        </w:tc>
      </w:tr>
      <w:tr w:rsidR="00306973" w14:paraId="71B74BE0" w14:textId="77777777" w:rsidTr="003325D0">
        <w:trPr>
          <w:trHeight w:val="489"/>
          <w:jc w:val="center"/>
        </w:trPr>
        <w:tc>
          <w:tcPr>
            <w:tcW w:w="9630" w:type="dxa"/>
            <w:gridSpan w:val="3"/>
            <w:shd w:val="clear" w:color="auto" w:fill="D9E2F3" w:themeFill="accent1" w:themeFillTint="33"/>
          </w:tcPr>
          <w:p w14:paraId="57C312DB" w14:textId="77777777" w:rsidR="00306973" w:rsidRPr="00D95954" w:rsidRDefault="00306973"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60" behindDoc="0" locked="0" layoutInCell="1" allowOverlap="1" wp14:anchorId="039D1EA1" wp14:editId="3DACAA14">
                  <wp:simplePos x="0" y="0"/>
                  <wp:positionH relativeFrom="leftMargin">
                    <wp:posOffset>59690</wp:posOffset>
                  </wp:positionH>
                  <wp:positionV relativeFrom="paragraph">
                    <wp:posOffset>37677</wp:posOffset>
                  </wp:positionV>
                  <wp:extent cx="245534" cy="194627"/>
                  <wp:effectExtent l="0" t="0" r="0" b="0"/>
                  <wp:wrapNone/>
                  <wp:docPr id="56" name="Graphic 56"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1790270230"/>
                <w14:checkbox>
                  <w14:checked w14:val="0"/>
                  <w14:checkedState w14:val="2612" w14:font="MS Gothic"/>
                  <w14:uncheckedState w14:val="2610" w14:font="MS Gothic"/>
                </w14:checkbox>
              </w:sdtPr>
              <w:sdtEndPr/>
              <w:sdtContent>
                <w:r w:rsidRPr="00BF7E3D">
                  <w:rPr>
                    <w:rFonts w:ascii="Segoe UI Symbol" w:hAnsi="Segoe UI Symbol" w:cs="Segoe UI Symbol"/>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12785590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153526447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Mid Term </w:t>
            </w:r>
            <w:r>
              <w:rPr>
                <w:rFonts w:ascii="Garamond" w:hAnsi="Garamond"/>
              </w:rPr>
              <w:t xml:space="preserve">    </w:t>
            </w:r>
            <w:sdt>
              <w:sdtPr>
                <w:rPr>
                  <w:rFonts w:ascii="Garamond" w:hAnsi="Garamond"/>
                </w:rPr>
                <w:id w:val="162796143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tbl>
    <w:p w14:paraId="1FE6C351" w14:textId="77777777" w:rsidR="00306973" w:rsidRDefault="00306973" w:rsidP="00855C71">
      <w:pPr>
        <w:spacing w:after="0"/>
        <w:rPr>
          <w:b/>
          <w:bCs/>
          <w:sz w:val="24"/>
          <w:szCs w:val="24"/>
        </w:rPr>
      </w:pPr>
    </w:p>
    <w:p w14:paraId="72DFC67A" w14:textId="77777777" w:rsidR="00306973" w:rsidRDefault="00306973" w:rsidP="00855C71">
      <w:pPr>
        <w:rPr>
          <w:rFonts w:ascii="Century Gothic" w:hAnsi="Century Gothic"/>
        </w:rPr>
      </w:pPr>
      <w:r>
        <w:rPr>
          <w:rFonts w:ascii="Century Gothic" w:hAnsi="Century Gothic"/>
        </w:rPr>
        <w:t>Issue/Metric:</w:t>
      </w:r>
    </w:p>
    <w:p w14:paraId="0DCE1E2D" w14:textId="1C8392F9" w:rsidR="00306973" w:rsidRPr="00E36443" w:rsidRDefault="00B44E1B" w:rsidP="00C115EF">
      <w:pPr>
        <w:pStyle w:val="ListParagraph"/>
        <w:numPr>
          <w:ilvl w:val="0"/>
          <w:numId w:val="19"/>
        </w:numPr>
        <w:spacing w:after="0"/>
        <w:contextualSpacing w:val="0"/>
        <w:rPr>
          <w:rFonts w:ascii="Garamond" w:hAnsi="Garamond"/>
          <w:sz w:val="24"/>
          <w:szCs w:val="24"/>
        </w:rPr>
      </w:pPr>
      <w:r>
        <w:rPr>
          <w:rFonts w:ascii="Garamond" w:hAnsi="Garamond"/>
          <w:sz w:val="24"/>
          <w:szCs w:val="24"/>
        </w:rPr>
        <w:t>I</w:t>
      </w:r>
      <w:r w:rsidR="00306973">
        <w:rPr>
          <w:rFonts w:ascii="Garamond" w:hAnsi="Garamond"/>
          <w:sz w:val="24"/>
          <w:szCs w:val="24"/>
        </w:rPr>
        <w:t>nclud</w:t>
      </w:r>
      <w:r>
        <w:rPr>
          <w:rFonts w:ascii="Garamond" w:hAnsi="Garamond"/>
          <w:sz w:val="24"/>
          <w:szCs w:val="24"/>
        </w:rPr>
        <w:t>ing in</w:t>
      </w:r>
      <w:r w:rsidR="00306973">
        <w:rPr>
          <w:rFonts w:ascii="Garamond" w:hAnsi="Garamond"/>
          <w:sz w:val="24"/>
          <w:szCs w:val="24"/>
        </w:rPr>
        <w:t xml:space="preserve"> </w:t>
      </w:r>
      <w:r>
        <w:rPr>
          <w:rFonts w:ascii="Garamond" w:hAnsi="Garamond"/>
          <w:sz w:val="24"/>
          <w:szCs w:val="24"/>
        </w:rPr>
        <w:t>the Risk S</w:t>
      </w:r>
      <w:r w:rsidRPr="0029754B">
        <w:rPr>
          <w:rFonts w:ascii="Garamond" w:hAnsi="Garamond"/>
          <w:sz w:val="24"/>
          <w:szCs w:val="24"/>
        </w:rPr>
        <w:t xml:space="preserve">pend </w:t>
      </w:r>
      <w:r>
        <w:rPr>
          <w:rFonts w:ascii="Garamond" w:hAnsi="Garamond"/>
          <w:sz w:val="24"/>
          <w:szCs w:val="24"/>
        </w:rPr>
        <w:t>E</w:t>
      </w:r>
      <w:r w:rsidRPr="0029754B">
        <w:rPr>
          <w:rFonts w:ascii="Garamond" w:hAnsi="Garamond"/>
          <w:sz w:val="24"/>
          <w:szCs w:val="24"/>
        </w:rPr>
        <w:t>fficiency</w:t>
      </w:r>
      <w:r>
        <w:rPr>
          <w:rFonts w:ascii="Garamond" w:hAnsi="Garamond"/>
          <w:sz w:val="24"/>
          <w:szCs w:val="24"/>
        </w:rPr>
        <w:t xml:space="preserve"> analysis </w:t>
      </w:r>
      <w:r w:rsidR="00306973">
        <w:rPr>
          <w:rFonts w:ascii="Garamond" w:hAnsi="Garamond"/>
          <w:sz w:val="24"/>
          <w:szCs w:val="24"/>
        </w:rPr>
        <w:t xml:space="preserve">the costs and risks </w:t>
      </w:r>
      <w:r w:rsidR="00256CEC">
        <w:rPr>
          <w:rFonts w:ascii="Garamond" w:hAnsi="Garamond"/>
          <w:sz w:val="24"/>
          <w:szCs w:val="24"/>
        </w:rPr>
        <w:t xml:space="preserve">of Public Safety Power Shutoffs (PSPS) </w:t>
      </w:r>
      <w:r w:rsidR="00306973">
        <w:rPr>
          <w:rFonts w:ascii="Garamond" w:hAnsi="Garamond"/>
          <w:sz w:val="24"/>
          <w:szCs w:val="24"/>
        </w:rPr>
        <w:t>to customers</w:t>
      </w:r>
      <w:r w:rsidR="00256CEC">
        <w:rPr>
          <w:rFonts w:ascii="Garamond" w:hAnsi="Garamond"/>
          <w:sz w:val="24"/>
          <w:szCs w:val="24"/>
        </w:rPr>
        <w:t>.</w:t>
      </w:r>
      <w:r w:rsidR="00306973" w:rsidRPr="004F198A">
        <w:rPr>
          <w:rFonts w:ascii="Century Gothic" w:hAnsi="Century Gothic"/>
        </w:rPr>
        <w:t xml:space="preserve"> </w:t>
      </w:r>
    </w:p>
    <w:p w14:paraId="37684E88" w14:textId="77777777" w:rsidR="00306973" w:rsidRPr="00E36443" w:rsidRDefault="00306973" w:rsidP="00C115EF">
      <w:pPr>
        <w:spacing w:after="0"/>
        <w:ind w:left="360"/>
        <w:rPr>
          <w:rFonts w:ascii="Garamond" w:hAnsi="Garamond"/>
          <w:sz w:val="24"/>
          <w:szCs w:val="24"/>
        </w:rPr>
      </w:pPr>
    </w:p>
    <w:p w14:paraId="37999B5D" w14:textId="77777777" w:rsidR="00306973" w:rsidRPr="0029754B" w:rsidRDefault="00306973" w:rsidP="00C115EF">
      <w:pPr>
        <w:rPr>
          <w:rFonts w:ascii="Century Gothic" w:hAnsi="Century Gothic"/>
        </w:rPr>
      </w:pPr>
      <w:r w:rsidRPr="0029754B">
        <w:rPr>
          <w:rFonts w:ascii="Century Gothic" w:hAnsi="Century Gothic"/>
        </w:rPr>
        <w:t>Current WMP Requirement:</w:t>
      </w:r>
    </w:p>
    <w:p w14:paraId="1AE9FE1A" w14:textId="0DD4B1EE" w:rsidR="00306973" w:rsidRPr="0046771A" w:rsidRDefault="00306973" w:rsidP="00C115EF">
      <w:pPr>
        <w:pStyle w:val="ListParagraph"/>
        <w:numPr>
          <w:ilvl w:val="0"/>
          <w:numId w:val="19"/>
        </w:numPr>
        <w:spacing w:after="0"/>
        <w:contextualSpacing w:val="0"/>
        <w:rPr>
          <w:b/>
          <w:bCs/>
        </w:rPr>
      </w:pPr>
      <w:r>
        <w:rPr>
          <w:rFonts w:ascii="Garamond" w:hAnsi="Garamond"/>
          <w:sz w:val="24"/>
          <w:szCs w:val="24"/>
        </w:rPr>
        <w:t xml:space="preserve">Section 5.3.8. of the </w:t>
      </w:r>
      <w:r w:rsidR="00DC5A8D">
        <w:rPr>
          <w:rFonts w:ascii="Garamond" w:hAnsi="Garamond"/>
          <w:sz w:val="24"/>
          <w:szCs w:val="24"/>
        </w:rPr>
        <w:t xml:space="preserve">2020 </w:t>
      </w:r>
      <w:r>
        <w:rPr>
          <w:rFonts w:ascii="Garamond" w:hAnsi="Garamond"/>
          <w:sz w:val="24"/>
          <w:szCs w:val="24"/>
        </w:rPr>
        <w:t>WMP Guidelines on resource allocation requires the utilities to</w:t>
      </w:r>
      <w:r w:rsidRPr="00EE33EB">
        <w:rPr>
          <w:rFonts w:ascii="Garamond" w:hAnsi="Garamond"/>
          <w:sz w:val="24"/>
          <w:szCs w:val="24"/>
        </w:rPr>
        <w:t xml:space="preserve"> describe </w:t>
      </w:r>
      <w:r>
        <w:rPr>
          <w:rFonts w:ascii="Garamond" w:hAnsi="Garamond"/>
          <w:sz w:val="24"/>
          <w:szCs w:val="24"/>
        </w:rPr>
        <w:t xml:space="preserve">their risk sped efficiency analysis.  </w:t>
      </w:r>
      <w:r w:rsidR="00DC5A8D">
        <w:rPr>
          <w:rFonts w:ascii="Garamond" w:hAnsi="Garamond"/>
          <w:sz w:val="24"/>
          <w:szCs w:val="24"/>
        </w:rPr>
        <w:t xml:space="preserve">The </w:t>
      </w:r>
      <w:r w:rsidR="00AA5727">
        <w:rPr>
          <w:rFonts w:ascii="Garamond" w:hAnsi="Garamond"/>
          <w:sz w:val="24"/>
          <w:szCs w:val="24"/>
        </w:rPr>
        <w:t xml:space="preserve">2020 </w:t>
      </w:r>
      <w:r w:rsidR="00DC5A8D">
        <w:rPr>
          <w:rFonts w:ascii="Garamond" w:hAnsi="Garamond"/>
          <w:sz w:val="24"/>
          <w:szCs w:val="24"/>
        </w:rPr>
        <w:t>WMP Guidelines state that, “</w:t>
      </w:r>
      <w:r w:rsidRPr="28AB0DDD">
        <w:rPr>
          <w:rFonts w:ascii="Garamond" w:hAnsi="Garamond"/>
          <w:sz w:val="24"/>
          <w:szCs w:val="24"/>
        </w:rPr>
        <w:t>Risk spend efficiency is an estimate of the cost-effectiveness of wildfire mitigation initiatives.  This is calculated by dividing the mitigation risk reduction benefit by the mitigation cost estimate-based on the full set of risk reduction benefits estimated from the incurred cost.</w:t>
      </w:r>
      <w:r w:rsidR="00DC5A8D">
        <w:rPr>
          <w:rFonts w:ascii="Garamond" w:hAnsi="Garamond"/>
          <w:sz w:val="24"/>
          <w:szCs w:val="24"/>
        </w:rPr>
        <w:t>”</w:t>
      </w:r>
      <w:r>
        <w:rPr>
          <w:rStyle w:val="FootnoteReference"/>
          <w:rFonts w:ascii="Garamond" w:hAnsi="Garamond"/>
          <w:sz w:val="24"/>
          <w:szCs w:val="24"/>
        </w:rPr>
        <w:footnoteReference w:id="30"/>
      </w:r>
      <w:r w:rsidRPr="28AB0DDD">
        <w:rPr>
          <w:rFonts w:ascii="Garamond" w:hAnsi="Garamond"/>
          <w:sz w:val="24"/>
          <w:szCs w:val="24"/>
        </w:rPr>
        <w:t xml:space="preserve">  </w:t>
      </w:r>
    </w:p>
    <w:p w14:paraId="1DC5F195" w14:textId="77777777" w:rsidR="00306973" w:rsidRDefault="00306973" w:rsidP="00C115EF">
      <w:pPr>
        <w:spacing w:after="0"/>
        <w:rPr>
          <w:b/>
          <w:bCs/>
        </w:rPr>
      </w:pPr>
    </w:p>
    <w:p w14:paraId="4DD19534" w14:textId="153E2EF1" w:rsidR="00306973" w:rsidRPr="0029754B" w:rsidRDefault="006962BC" w:rsidP="00C115EF">
      <w:pPr>
        <w:rPr>
          <w:rFonts w:ascii="Century Gothic" w:hAnsi="Century Gothic"/>
        </w:rPr>
      </w:pPr>
      <w:r>
        <w:rPr>
          <w:rFonts w:ascii="Century Gothic" w:hAnsi="Century Gothic"/>
        </w:rPr>
        <w:t xml:space="preserve">Board </w:t>
      </w:r>
      <w:r w:rsidR="00306973" w:rsidRPr="0029754B">
        <w:rPr>
          <w:rFonts w:ascii="Century Gothic" w:hAnsi="Century Gothic"/>
        </w:rPr>
        <w:t xml:space="preserve">Recommendation: </w:t>
      </w:r>
    </w:p>
    <w:p w14:paraId="7C55CEF1" w14:textId="1D61B579" w:rsidR="00306973" w:rsidRPr="00D27CF3" w:rsidRDefault="00306973" w:rsidP="00C115EF">
      <w:pPr>
        <w:pStyle w:val="ListParagraph"/>
        <w:numPr>
          <w:ilvl w:val="0"/>
          <w:numId w:val="11"/>
        </w:numPr>
        <w:tabs>
          <w:tab w:val="left" w:pos="1080"/>
        </w:tabs>
        <w:spacing w:after="0"/>
        <w:ind w:left="360"/>
        <w:contextualSpacing w:val="0"/>
        <w:rPr>
          <w:rFonts w:ascii="Garamond" w:eastAsia="Times New Roman" w:hAnsi="Garamond"/>
          <w:sz w:val="24"/>
          <w:szCs w:val="24"/>
        </w:rPr>
      </w:pPr>
      <w:r w:rsidRPr="00D27CF3">
        <w:rPr>
          <w:rFonts w:ascii="Garamond" w:eastAsia="Times New Roman" w:hAnsi="Garamond"/>
          <w:sz w:val="24"/>
          <w:szCs w:val="24"/>
        </w:rPr>
        <w:t>The Wildfire Safety Division should consider whether the utilities factor into their risk spend efficiency calculations the risk and cost to customers that results from a PSPS event</w:t>
      </w:r>
      <w:r w:rsidR="00256CEC" w:rsidRPr="00D27CF3">
        <w:rPr>
          <w:rFonts w:ascii="Garamond" w:eastAsia="Times New Roman" w:hAnsi="Garamond"/>
          <w:sz w:val="24"/>
          <w:szCs w:val="24"/>
        </w:rPr>
        <w:t xml:space="preserve"> in addition to </w:t>
      </w:r>
      <w:r w:rsidRPr="00D27CF3">
        <w:rPr>
          <w:rFonts w:ascii="Garamond" w:eastAsia="Times New Roman" w:hAnsi="Garamond"/>
          <w:sz w:val="24"/>
          <w:szCs w:val="24"/>
        </w:rPr>
        <w:t>consider</w:t>
      </w:r>
      <w:r w:rsidR="00256CEC" w:rsidRPr="00D27CF3">
        <w:rPr>
          <w:rFonts w:ascii="Garamond" w:eastAsia="Times New Roman" w:hAnsi="Garamond"/>
          <w:sz w:val="24"/>
          <w:szCs w:val="24"/>
        </w:rPr>
        <w:t xml:space="preserve">ation of </w:t>
      </w:r>
      <w:r w:rsidR="009B796E" w:rsidRPr="00D27CF3">
        <w:rPr>
          <w:rFonts w:ascii="Garamond" w:eastAsia="Times New Roman" w:hAnsi="Garamond"/>
          <w:sz w:val="24"/>
          <w:szCs w:val="24"/>
        </w:rPr>
        <w:t>PSPS event wildfire</w:t>
      </w:r>
      <w:r w:rsidRPr="00D27CF3">
        <w:rPr>
          <w:rFonts w:ascii="Garamond" w:eastAsia="Times New Roman" w:hAnsi="Garamond"/>
          <w:sz w:val="24"/>
          <w:szCs w:val="24"/>
        </w:rPr>
        <w:t xml:space="preserve"> risk reduction</w:t>
      </w:r>
      <w:r w:rsidR="009B796E" w:rsidRPr="00D27CF3">
        <w:rPr>
          <w:rFonts w:ascii="Garamond" w:eastAsia="Times New Roman" w:hAnsi="Garamond"/>
          <w:sz w:val="24"/>
          <w:szCs w:val="24"/>
        </w:rPr>
        <w:t>.</w:t>
      </w:r>
      <w:r w:rsidRPr="00D27CF3">
        <w:rPr>
          <w:rFonts w:ascii="Garamond" w:eastAsia="Times New Roman" w:hAnsi="Garamond"/>
          <w:sz w:val="24"/>
          <w:szCs w:val="24"/>
        </w:rPr>
        <w:t xml:space="preserve"> </w:t>
      </w:r>
    </w:p>
    <w:p w14:paraId="02F0F8B4" w14:textId="77777777" w:rsidR="00306973" w:rsidRPr="00D27CF3" w:rsidRDefault="00306973" w:rsidP="00C115EF">
      <w:pPr>
        <w:spacing w:after="0"/>
        <w:rPr>
          <w:rFonts w:ascii="Garamond" w:eastAsia="Times New Roman" w:hAnsi="Garamond"/>
          <w:sz w:val="24"/>
          <w:szCs w:val="24"/>
        </w:rPr>
      </w:pPr>
    </w:p>
    <w:p w14:paraId="7181BC52" w14:textId="30A260E3" w:rsidR="00306973" w:rsidRPr="00D27CF3" w:rsidRDefault="00785175" w:rsidP="00C115EF">
      <w:pPr>
        <w:rPr>
          <w:rFonts w:ascii="Century Gothic" w:eastAsia="Times New Roman" w:hAnsi="Century Gothic"/>
        </w:rPr>
      </w:pPr>
      <w:r w:rsidRPr="00D27CF3">
        <w:rPr>
          <w:rFonts w:ascii="Century Gothic" w:eastAsia="Times New Roman" w:hAnsi="Century Gothic"/>
        </w:rPr>
        <w:t>Observation</w:t>
      </w:r>
      <w:r w:rsidR="006962BC">
        <w:rPr>
          <w:rFonts w:ascii="Century Gothic" w:eastAsia="Times New Roman" w:hAnsi="Century Gothic"/>
        </w:rPr>
        <w:t>s</w:t>
      </w:r>
      <w:r w:rsidR="00306973" w:rsidRPr="00D27CF3">
        <w:rPr>
          <w:rFonts w:ascii="Century Gothic" w:eastAsia="Times New Roman" w:hAnsi="Century Gothic"/>
        </w:rPr>
        <w:t>:</w:t>
      </w:r>
    </w:p>
    <w:p w14:paraId="19229912" w14:textId="77777777" w:rsidR="00306973" w:rsidRPr="00D27CF3" w:rsidRDefault="00306973" w:rsidP="00C115EF">
      <w:pPr>
        <w:pStyle w:val="ListParagraph"/>
        <w:numPr>
          <w:ilvl w:val="0"/>
          <w:numId w:val="11"/>
        </w:numPr>
        <w:ind w:left="360"/>
        <w:contextualSpacing w:val="0"/>
        <w:rPr>
          <w:rFonts w:ascii="Garamond" w:eastAsia="Times New Roman" w:hAnsi="Garamond"/>
          <w:sz w:val="24"/>
          <w:szCs w:val="24"/>
        </w:rPr>
      </w:pPr>
      <w:r>
        <w:rPr>
          <w:rFonts w:ascii="Garamond" w:hAnsi="Garamond"/>
          <w:sz w:val="24"/>
          <w:szCs w:val="24"/>
        </w:rPr>
        <w:t xml:space="preserve">PSPS events are costly to customers and there are many risks and negative consequences to customers when these planned deenergization events occur.  These costs and risks should be factored in the utility analysis.  The utilities should consider whether the risks to customers outweigh the risk reduction of initiating a PSPS event.   </w:t>
      </w:r>
    </w:p>
    <w:p w14:paraId="08ECE810" w14:textId="76E7F44B" w:rsidR="000F1874" w:rsidRPr="009B62AA" w:rsidRDefault="00306973" w:rsidP="00110944">
      <w:pPr>
        <w:pStyle w:val="ListParagraph"/>
        <w:numPr>
          <w:ilvl w:val="0"/>
          <w:numId w:val="11"/>
        </w:numPr>
        <w:spacing w:after="0"/>
        <w:ind w:left="360"/>
        <w:contextualSpacing w:val="0"/>
        <w:rPr>
          <w:rFonts w:ascii="Garamond" w:eastAsia="Times New Roman" w:hAnsi="Garamond"/>
          <w:sz w:val="24"/>
          <w:szCs w:val="24"/>
        </w:rPr>
      </w:pPr>
      <w:r>
        <w:rPr>
          <w:rFonts w:ascii="Garamond" w:hAnsi="Garamond"/>
          <w:sz w:val="24"/>
          <w:szCs w:val="24"/>
        </w:rPr>
        <w:t>The negative costs and risks for each customer vary greatly by customer class and type.  For example, costs to residential customers include food spoilage, and the potential interruption of medical baseline devices.  For businesses</w:t>
      </w:r>
      <w:r w:rsidR="003150E9">
        <w:rPr>
          <w:rFonts w:ascii="Garamond" w:hAnsi="Garamond"/>
          <w:sz w:val="24"/>
          <w:szCs w:val="24"/>
        </w:rPr>
        <w:t>,</w:t>
      </w:r>
      <w:r>
        <w:rPr>
          <w:rFonts w:ascii="Garamond" w:hAnsi="Garamond"/>
          <w:sz w:val="24"/>
          <w:szCs w:val="24"/>
        </w:rPr>
        <w:t xml:space="preserve"> loss of productivity is likely one of the main costs.</w:t>
      </w:r>
      <w:r w:rsidR="00110944">
        <w:rPr>
          <w:rFonts w:ascii="Garamond" w:hAnsi="Garamond"/>
          <w:sz w:val="24"/>
          <w:szCs w:val="24"/>
        </w:rPr>
        <w:t xml:space="preserve">  </w:t>
      </w:r>
    </w:p>
    <w:p w14:paraId="3B93EA11" w14:textId="77777777" w:rsidR="009B62AA" w:rsidRPr="00B23803" w:rsidRDefault="009B62AA" w:rsidP="009B62AA">
      <w:pPr>
        <w:pStyle w:val="ListParagraph"/>
        <w:spacing w:after="0"/>
        <w:ind w:left="360"/>
        <w:contextualSpacing w:val="0"/>
        <w:rPr>
          <w:rFonts w:ascii="Garamond" w:eastAsia="Times New Roman" w:hAnsi="Garamond"/>
          <w:sz w:val="24"/>
          <w:szCs w:val="24"/>
        </w:rPr>
      </w:pPr>
    </w:p>
    <w:p w14:paraId="5F56F4B8" w14:textId="08A7CA14" w:rsidR="00306973" w:rsidRPr="009B62AA" w:rsidRDefault="000F1874" w:rsidP="00110944">
      <w:pPr>
        <w:pStyle w:val="ListParagraph"/>
        <w:numPr>
          <w:ilvl w:val="0"/>
          <w:numId w:val="11"/>
        </w:numPr>
        <w:spacing w:after="0"/>
        <w:ind w:left="360"/>
        <w:contextualSpacing w:val="0"/>
        <w:rPr>
          <w:rFonts w:eastAsia="Times New Roman"/>
          <w:color w:val="FF0000"/>
        </w:rPr>
      </w:pPr>
      <w:r w:rsidRPr="009B62AA">
        <w:rPr>
          <w:rFonts w:ascii="Garamond" w:hAnsi="Garamond"/>
          <w:color w:val="FF0000"/>
          <w:sz w:val="24"/>
          <w:szCs w:val="24"/>
        </w:rPr>
        <w:t xml:space="preserve">Given the </w:t>
      </w:r>
      <w:r w:rsidR="007231BD" w:rsidRPr="009B62AA">
        <w:rPr>
          <w:rFonts w:ascii="Garamond" w:hAnsi="Garamond"/>
          <w:color w:val="FF0000"/>
          <w:sz w:val="24"/>
          <w:szCs w:val="24"/>
        </w:rPr>
        <w:t xml:space="preserve">global COVID-19 pandemic, </w:t>
      </w:r>
      <w:r w:rsidR="00AA203E" w:rsidRPr="009B62AA">
        <w:rPr>
          <w:rFonts w:ascii="Garamond" w:hAnsi="Garamond"/>
          <w:color w:val="FF0000"/>
          <w:sz w:val="24"/>
          <w:szCs w:val="24"/>
        </w:rPr>
        <w:t xml:space="preserve">the </w:t>
      </w:r>
      <w:r w:rsidR="00096BE2" w:rsidRPr="009B62AA">
        <w:rPr>
          <w:rFonts w:ascii="Garamond" w:hAnsi="Garamond"/>
          <w:color w:val="FF0000"/>
          <w:sz w:val="24"/>
          <w:szCs w:val="24"/>
        </w:rPr>
        <w:t xml:space="preserve">presumably increased </w:t>
      </w:r>
      <w:r w:rsidR="00AA203E" w:rsidRPr="009B62AA">
        <w:rPr>
          <w:rFonts w:ascii="Garamond" w:hAnsi="Garamond"/>
          <w:color w:val="FF0000"/>
          <w:sz w:val="24"/>
          <w:szCs w:val="24"/>
        </w:rPr>
        <w:t xml:space="preserve">costs of </w:t>
      </w:r>
      <w:r w:rsidR="00110944" w:rsidRPr="009B62AA">
        <w:rPr>
          <w:rFonts w:ascii="Garamond" w:hAnsi="Garamond"/>
          <w:color w:val="FF0000"/>
          <w:sz w:val="24"/>
          <w:szCs w:val="24"/>
        </w:rPr>
        <w:t xml:space="preserve">PSPS events should be included in the </w:t>
      </w:r>
      <w:r w:rsidR="00D42FB0" w:rsidRPr="009B62AA">
        <w:rPr>
          <w:rFonts w:ascii="Garamond" w:hAnsi="Garamond"/>
          <w:color w:val="FF0000"/>
          <w:sz w:val="24"/>
          <w:szCs w:val="24"/>
        </w:rPr>
        <w:t>risk spend efficiency analysis</w:t>
      </w:r>
      <w:r w:rsidR="00110944" w:rsidRPr="009B62AA">
        <w:rPr>
          <w:color w:val="FF0000"/>
        </w:rPr>
        <w:t xml:space="preserve">.  </w:t>
      </w:r>
      <w:r w:rsidR="00306973" w:rsidRPr="009B62AA">
        <w:rPr>
          <w:color w:val="FF0000"/>
        </w:rPr>
        <w:t xml:space="preserve"> </w:t>
      </w:r>
    </w:p>
    <w:p w14:paraId="1552D834" w14:textId="77777777" w:rsidR="00306973" w:rsidRPr="00D27CF3" w:rsidRDefault="00306973" w:rsidP="00C115EF">
      <w:pPr>
        <w:spacing w:after="0"/>
        <w:rPr>
          <w:rFonts w:ascii="Century Gothic" w:eastAsia="Times New Roman" w:hAnsi="Century Gothic"/>
        </w:rPr>
      </w:pPr>
    </w:p>
    <w:p w14:paraId="263CF1A6" w14:textId="77777777" w:rsidR="00306973" w:rsidRPr="00D27CF3" w:rsidRDefault="00306973" w:rsidP="00C115EF">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7E24E774" w14:textId="207AE0F3" w:rsidR="009B796E" w:rsidRPr="00D27CF3" w:rsidRDefault="00306973" w:rsidP="00C115EF">
      <w:pPr>
        <w:pStyle w:val="ListParagraph"/>
        <w:numPr>
          <w:ilvl w:val="0"/>
          <w:numId w:val="15"/>
        </w:numPr>
        <w:tabs>
          <w:tab w:val="left" w:pos="7008"/>
        </w:tabs>
        <w:spacing w:after="0"/>
        <w:contextualSpacing w:val="0"/>
        <w:rPr>
          <w:rFonts w:ascii="Garamond" w:eastAsia="Times New Roman" w:hAnsi="Garamond"/>
          <w:sz w:val="24"/>
          <w:szCs w:val="24"/>
        </w:rPr>
      </w:pPr>
      <w:r w:rsidRPr="00D27CF3">
        <w:rPr>
          <w:rFonts w:ascii="Garamond" w:eastAsia="Times New Roman" w:hAnsi="Garamond"/>
          <w:sz w:val="24"/>
          <w:szCs w:val="24"/>
        </w:rPr>
        <w:t xml:space="preserve">A Risk Spend Efficiency analysis that </w:t>
      </w:r>
      <w:r w:rsidR="009B796E" w:rsidRPr="00D27CF3">
        <w:rPr>
          <w:rFonts w:ascii="Garamond" w:eastAsia="Times New Roman" w:hAnsi="Garamond"/>
          <w:sz w:val="24"/>
          <w:szCs w:val="24"/>
        </w:rPr>
        <w:t xml:space="preserve">includes an assessment of </w:t>
      </w:r>
      <w:r w:rsidRPr="00D27CF3">
        <w:rPr>
          <w:rFonts w:ascii="Garamond" w:eastAsia="Times New Roman" w:hAnsi="Garamond"/>
          <w:sz w:val="24"/>
          <w:szCs w:val="24"/>
        </w:rPr>
        <w:t>the cost</w:t>
      </w:r>
      <w:r w:rsidR="005A0C02">
        <w:rPr>
          <w:rFonts w:ascii="Garamond" w:eastAsia="Times New Roman" w:hAnsi="Garamond"/>
          <w:sz w:val="24"/>
          <w:szCs w:val="24"/>
        </w:rPr>
        <w:t xml:space="preserve"> to customers of </w:t>
      </w:r>
      <w:r w:rsidRPr="00D27CF3">
        <w:rPr>
          <w:rFonts w:ascii="Garamond" w:eastAsia="Times New Roman" w:hAnsi="Garamond"/>
          <w:sz w:val="24"/>
          <w:szCs w:val="24"/>
        </w:rPr>
        <w:t>PSPS</w:t>
      </w:r>
      <w:r w:rsidR="005858F2">
        <w:rPr>
          <w:rFonts w:ascii="Garamond" w:eastAsia="Times New Roman" w:hAnsi="Garamond"/>
          <w:sz w:val="24"/>
          <w:szCs w:val="24"/>
        </w:rPr>
        <w:t xml:space="preserve"> events</w:t>
      </w:r>
      <w:r w:rsidR="0080023E">
        <w:rPr>
          <w:rFonts w:ascii="Garamond" w:eastAsia="Times New Roman" w:hAnsi="Garamond"/>
          <w:sz w:val="24"/>
          <w:szCs w:val="24"/>
        </w:rPr>
        <w:t xml:space="preserve">.  </w:t>
      </w:r>
      <w:r w:rsidR="00233D50">
        <w:rPr>
          <w:rFonts w:ascii="Garamond" w:eastAsia="Times New Roman" w:hAnsi="Garamond"/>
          <w:sz w:val="24"/>
          <w:szCs w:val="24"/>
        </w:rPr>
        <w:t>A</w:t>
      </w:r>
      <w:r w:rsidR="00626A69">
        <w:rPr>
          <w:rFonts w:ascii="Garamond" w:eastAsia="Times New Roman" w:hAnsi="Garamond"/>
          <w:sz w:val="24"/>
          <w:szCs w:val="24"/>
        </w:rPr>
        <w:t xml:space="preserve">voiding </w:t>
      </w:r>
      <w:r w:rsidR="00DC4A4E">
        <w:rPr>
          <w:rFonts w:ascii="Garamond" w:eastAsia="Times New Roman" w:hAnsi="Garamond"/>
          <w:sz w:val="24"/>
          <w:szCs w:val="24"/>
        </w:rPr>
        <w:t xml:space="preserve">PSPS events </w:t>
      </w:r>
      <w:r w:rsidR="006719BE">
        <w:rPr>
          <w:rFonts w:ascii="Garamond" w:eastAsia="Times New Roman" w:hAnsi="Garamond"/>
          <w:sz w:val="24"/>
          <w:szCs w:val="24"/>
        </w:rPr>
        <w:t xml:space="preserve">should </w:t>
      </w:r>
      <w:r w:rsidR="00213B92">
        <w:rPr>
          <w:rFonts w:ascii="Garamond" w:eastAsia="Times New Roman" w:hAnsi="Garamond"/>
          <w:sz w:val="24"/>
          <w:szCs w:val="24"/>
        </w:rPr>
        <w:t>increase the efficiency</w:t>
      </w:r>
      <w:r w:rsidR="00FC216F">
        <w:rPr>
          <w:rFonts w:ascii="Garamond" w:eastAsia="Times New Roman" w:hAnsi="Garamond"/>
          <w:sz w:val="24"/>
          <w:szCs w:val="24"/>
        </w:rPr>
        <w:t xml:space="preserve"> of</w:t>
      </w:r>
      <w:r w:rsidR="00213B92">
        <w:rPr>
          <w:rFonts w:ascii="Garamond" w:eastAsia="Times New Roman" w:hAnsi="Garamond"/>
          <w:sz w:val="24"/>
          <w:szCs w:val="24"/>
        </w:rPr>
        <w:t xml:space="preserve"> </w:t>
      </w:r>
      <w:r w:rsidR="00874D6D">
        <w:rPr>
          <w:rFonts w:ascii="Garamond" w:eastAsia="Times New Roman" w:hAnsi="Garamond"/>
          <w:sz w:val="24"/>
          <w:szCs w:val="24"/>
        </w:rPr>
        <w:t>each</w:t>
      </w:r>
      <w:r w:rsidRPr="00D27CF3">
        <w:rPr>
          <w:rFonts w:ascii="Garamond" w:eastAsia="Times New Roman" w:hAnsi="Garamond"/>
          <w:sz w:val="24"/>
          <w:szCs w:val="24"/>
        </w:rPr>
        <w:t xml:space="preserve"> mitigation strategy and </w:t>
      </w:r>
      <w:r w:rsidR="00846C34">
        <w:rPr>
          <w:rFonts w:ascii="Garamond" w:eastAsia="Times New Roman" w:hAnsi="Garamond"/>
          <w:sz w:val="24"/>
          <w:szCs w:val="24"/>
        </w:rPr>
        <w:t xml:space="preserve">could include a </w:t>
      </w:r>
      <w:r w:rsidR="00AD461B">
        <w:rPr>
          <w:rFonts w:ascii="Garamond" w:eastAsia="Times New Roman" w:hAnsi="Garamond"/>
          <w:sz w:val="24"/>
          <w:szCs w:val="24"/>
        </w:rPr>
        <w:t xml:space="preserve">count of </w:t>
      </w:r>
      <w:r w:rsidRPr="00D27CF3">
        <w:rPr>
          <w:rFonts w:ascii="Garamond" w:eastAsia="Times New Roman" w:hAnsi="Garamond"/>
          <w:sz w:val="24"/>
          <w:szCs w:val="24"/>
        </w:rPr>
        <w:t xml:space="preserve">customer outage minutes projected to be avoided.  </w:t>
      </w:r>
      <w:r w:rsidR="009B796E" w:rsidRPr="00B759E0">
        <w:rPr>
          <w:rFonts w:ascii="Garamond" w:hAnsi="Garamond"/>
          <w:sz w:val="24"/>
          <w:szCs w:val="24"/>
        </w:rPr>
        <w:t xml:space="preserve">Stakeholders, especially local governments and community groups would want to provide input into developing the assumptions and quantifying the negative costs </w:t>
      </w:r>
      <w:r w:rsidR="009B796E" w:rsidRPr="000B2ED2">
        <w:rPr>
          <w:rFonts w:ascii="Garamond" w:hAnsi="Garamond"/>
          <w:sz w:val="24"/>
          <w:szCs w:val="24"/>
        </w:rPr>
        <w:t xml:space="preserve">to customers that the utilities may include in their risk spend efficiency analysis.  </w:t>
      </w:r>
    </w:p>
    <w:p w14:paraId="1E88B8C4" w14:textId="63AE58D3" w:rsidR="009B796E" w:rsidRPr="00B317B8" w:rsidRDefault="009B796E" w:rsidP="00C115EF">
      <w:pPr>
        <w:pStyle w:val="ListParagraph"/>
        <w:tabs>
          <w:tab w:val="left" w:pos="7008"/>
        </w:tabs>
        <w:contextualSpacing w:val="0"/>
      </w:pPr>
    </w:p>
    <w:p w14:paraId="60635391" w14:textId="77777777" w:rsidR="00306973" w:rsidRDefault="00306973" w:rsidP="00C115EF"/>
    <w:p w14:paraId="6F906A69" w14:textId="5E58281F" w:rsidR="004E20F0" w:rsidRPr="004E20F0" w:rsidRDefault="00306973" w:rsidP="00C115EF">
      <w:pPr>
        <w:rPr>
          <w:rFonts w:ascii="Garamond" w:hAnsi="Garamond" w:cstheme="minorHAnsi"/>
          <w:sz w:val="24"/>
          <w:szCs w:val="24"/>
        </w:rPr>
      </w:pPr>
      <w:r>
        <w:rPr>
          <w:rFonts w:ascii="Garamond" w:hAnsi="Garamond" w:cstheme="minorHAnsi"/>
          <w:sz w:val="24"/>
          <w:szCs w:val="24"/>
        </w:rPr>
        <w:br w:type="page"/>
      </w:r>
    </w:p>
    <w:p w14:paraId="0AAC1DBB" w14:textId="114C114F" w:rsidR="003325D0" w:rsidRPr="00D27CF3" w:rsidRDefault="003325D0" w:rsidP="00C115EF">
      <w:pPr>
        <w:pStyle w:val="Heading1"/>
      </w:pPr>
      <w:bookmarkStart w:id="21" w:name="_Toc36750071"/>
      <w:r w:rsidRPr="00D27CF3">
        <w:t>1</w:t>
      </w:r>
      <w:r w:rsidR="000E488A">
        <w:t>1</w:t>
      </w:r>
      <w:r w:rsidRPr="00D27CF3">
        <w:t>. Re-</w:t>
      </w:r>
      <w:r w:rsidR="00BE4C3B" w:rsidRPr="00D27CF3">
        <w:t>E</w:t>
      </w:r>
      <w:r w:rsidRPr="00D27CF3">
        <w:t>nergization</w:t>
      </w:r>
      <w:r w:rsidR="00B80A2F" w:rsidRPr="00D27CF3">
        <w:t xml:space="preserve"> after PSPS Events</w:t>
      </w:r>
      <w:bookmarkStart w:id="22" w:name="_Toc36319422"/>
      <w:bookmarkEnd w:id="21"/>
    </w:p>
    <w:p w14:paraId="12A286E6" w14:textId="77777777" w:rsidR="003325D0" w:rsidRPr="003325D0" w:rsidRDefault="003325D0" w:rsidP="00C115EF">
      <w:pPr>
        <w:spacing w:after="0"/>
        <w:rPr>
          <w:sz w:val="8"/>
          <w:szCs w:val="8"/>
        </w:rPr>
      </w:pPr>
    </w:p>
    <w:tbl>
      <w:tblPr>
        <w:tblStyle w:val="TableGrid"/>
        <w:tblW w:w="9630" w:type="dxa"/>
        <w:jc w:val="center"/>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Look w:val="04A0" w:firstRow="1" w:lastRow="0" w:firstColumn="1" w:lastColumn="0" w:noHBand="0" w:noVBand="1"/>
      </w:tblPr>
      <w:tblGrid>
        <w:gridCol w:w="4050"/>
        <w:gridCol w:w="2430"/>
        <w:gridCol w:w="3150"/>
      </w:tblGrid>
      <w:tr w:rsidR="00306973" w14:paraId="6D4DB0D3" w14:textId="77777777" w:rsidTr="003325D0">
        <w:trPr>
          <w:trHeight w:val="436"/>
          <w:jc w:val="center"/>
        </w:trPr>
        <w:tc>
          <w:tcPr>
            <w:tcW w:w="6480" w:type="dxa"/>
            <w:gridSpan w:val="2"/>
            <w:tcBorders>
              <w:bottom w:val="single" w:sz="12" w:space="0" w:color="8496B0" w:themeColor="text2" w:themeTint="99"/>
            </w:tcBorders>
            <w:shd w:val="clear" w:color="auto" w:fill="D9E2F3" w:themeFill="accent1" w:themeFillTint="33"/>
          </w:tcPr>
          <w:bookmarkEnd w:id="22"/>
          <w:p w14:paraId="7F223662" w14:textId="77777777" w:rsidR="00306973" w:rsidRPr="007C7BDA" w:rsidRDefault="00306973" w:rsidP="00C115EF">
            <w:pPr>
              <w:spacing w:before="60"/>
              <w:ind w:left="432"/>
              <w:rPr>
                <w:rFonts w:ascii="Garamond" w:hAnsi="Garamond"/>
              </w:rPr>
            </w:pPr>
            <w:r w:rsidRPr="007C7BDA">
              <w:rPr>
                <w:b/>
                <w:bCs/>
                <w:noProof/>
              </w:rPr>
              <w:drawing>
                <wp:anchor distT="0" distB="0" distL="114300" distR="114300" simplePos="0" relativeHeight="251658264" behindDoc="0" locked="0" layoutInCell="1" allowOverlap="0" wp14:anchorId="5E1DDEDE" wp14:editId="3AFBD319">
                  <wp:simplePos x="0" y="0"/>
                  <wp:positionH relativeFrom="leftMargin">
                    <wp:posOffset>59690</wp:posOffset>
                  </wp:positionH>
                  <wp:positionV relativeFrom="paragraph">
                    <wp:posOffset>5927</wp:posOffset>
                  </wp:positionV>
                  <wp:extent cx="246888" cy="246888"/>
                  <wp:effectExtent l="0" t="0" r="1270" b="1270"/>
                  <wp:wrapNone/>
                  <wp:docPr id="59" name="Graphic 59"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gea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r w:rsidRPr="007C7BDA">
              <w:rPr>
                <w:rFonts w:ascii="Garamond" w:hAnsi="Garamond"/>
                <w:b/>
                <w:bCs/>
              </w:rPr>
              <w:t>Utility:</w:t>
            </w:r>
            <w:r w:rsidRPr="007C7BDA">
              <w:rPr>
                <w:rFonts w:ascii="Garamond" w:hAnsi="Garamond"/>
              </w:rPr>
              <w:t xml:space="preserve">    </w:t>
            </w:r>
            <w:sdt>
              <w:sdtPr>
                <w:rPr>
                  <w:rFonts w:ascii="Garamond" w:eastAsia="Times New Roman" w:hAnsi="Garamond"/>
                </w:rPr>
                <w:id w:val="-516854460"/>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7C7BDA">
              <w:rPr>
                <w:rFonts w:ascii="Garamond" w:hAnsi="Garamond"/>
              </w:rPr>
              <w:t xml:space="preserve"> PG&amp;E </w:t>
            </w:r>
            <w:r>
              <w:rPr>
                <w:rFonts w:ascii="Garamond" w:hAnsi="Garamond"/>
              </w:rPr>
              <w:t xml:space="preserve">  </w:t>
            </w:r>
            <w:r w:rsidRPr="007C7BDA">
              <w:rPr>
                <w:rFonts w:ascii="Garamond" w:hAnsi="Garamond"/>
              </w:rPr>
              <w:t xml:space="preserve"> </w:t>
            </w:r>
            <w:sdt>
              <w:sdtPr>
                <w:rPr>
                  <w:rFonts w:ascii="Garamond" w:hAnsi="Garamond"/>
                </w:rPr>
                <w:id w:val="677320006"/>
                <w14:checkbox>
                  <w14:checked w14:val="0"/>
                  <w14:checkedState w14:val="2612" w14:font="MS Gothic"/>
                  <w14:uncheckedState w14:val="2610" w14:font="MS Gothic"/>
                </w14:checkbox>
              </w:sdtPr>
              <w:sdtEndPr/>
              <w:sdtContent>
                <w:r w:rsidRPr="007C7BDA">
                  <w:rPr>
                    <w:rFonts w:ascii="MS Gothic" w:eastAsia="MS Gothic" w:hAnsi="MS Gothic" w:hint="eastAsia"/>
                  </w:rPr>
                  <w:t>☐</w:t>
                </w:r>
              </w:sdtContent>
            </w:sdt>
            <w:r w:rsidRPr="007C7BDA">
              <w:rPr>
                <w:rFonts w:ascii="Garamond" w:hAnsi="Garamond"/>
              </w:rPr>
              <w:t xml:space="preserve"> SCE</w:t>
            </w:r>
            <w:r>
              <w:rPr>
                <w:rFonts w:ascii="Garamond" w:hAnsi="Garamond"/>
              </w:rPr>
              <w:t xml:space="preserve">  </w:t>
            </w:r>
            <w:r w:rsidRPr="007C7BDA">
              <w:rPr>
                <w:rFonts w:ascii="Garamond" w:hAnsi="Garamond"/>
              </w:rPr>
              <w:t xml:space="preserve">   </w:t>
            </w:r>
            <w:sdt>
              <w:sdtPr>
                <w:rPr>
                  <w:rFonts w:ascii="Garamond" w:eastAsia="Times New Roman" w:hAnsi="Garamond"/>
                </w:rPr>
                <w:id w:val="2103455942"/>
                <w14:checkbox>
                  <w14:checked w14:val="0"/>
                  <w14:checkedState w14:val="2612" w14:font="MS Gothic"/>
                  <w14:uncheckedState w14:val="2610" w14:font="MS Gothic"/>
                </w14:checkbox>
              </w:sdtPr>
              <w:sdtEndPr/>
              <w:sdtContent>
                <w:r w:rsidRPr="00D27CF3">
                  <w:rPr>
                    <w:rFonts w:ascii="MS Gothic" w:eastAsia="MS Gothic" w:hAnsi="MS Gothic" w:hint="eastAsia"/>
                  </w:rPr>
                  <w:t>☐</w:t>
                </w:r>
              </w:sdtContent>
            </w:sdt>
            <w:r w:rsidRPr="00D27CF3">
              <w:rPr>
                <w:rFonts w:ascii="Garamond" w:eastAsia="Times New Roman" w:hAnsi="Garamond"/>
              </w:rPr>
              <w:t xml:space="preserve"> SDG</w:t>
            </w:r>
            <w:r w:rsidRPr="007C7BDA">
              <w:rPr>
                <w:rFonts w:ascii="Garamond" w:hAnsi="Garamond"/>
              </w:rPr>
              <w:t>&amp;E</w:t>
            </w:r>
            <w:r>
              <w:rPr>
                <w:rFonts w:ascii="Garamond" w:hAnsi="Garamond"/>
              </w:rPr>
              <w:t xml:space="preserve">  </w:t>
            </w:r>
            <w:r w:rsidRPr="007C7BDA">
              <w:rPr>
                <w:rFonts w:ascii="Garamond" w:hAnsi="Garamond"/>
              </w:rPr>
              <w:t xml:space="preserve"> </w:t>
            </w:r>
            <w:sdt>
              <w:sdtPr>
                <w:rPr>
                  <w:rFonts w:ascii="Garamond" w:eastAsia="Times New Roman" w:hAnsi="Garamond"/>
                  <w:sz w:val="20"/>
                  <w:szCs w:val="20"/>
                </w:rPr>
                <w:id w:val="2092659560"/>
                <w14:checkbox>
                  <w14:checked w14:val="1"/>
                  <w14:checkedState w14:val="2612" w14:font="MS Gothic"/>
                  <w14:uncheckedState w14:val="2610" w14:font="MS Gothic"/>
                </w14:checkbox>
              </w:sdtPr>
              <w:sdtEndPr/>
              <w:sdtContent>
                <w:r w:rsidRPr="00D27CF3">
                  <w:rPr>
                    <w:rFonts w:ascii="MS Gothic" w:eastAsia="MS Gothic" w:hAnsi="MS Gothic" w:hint="eastAsia"/>
                    <w:sz w:val="20"/>
                    <w:szCs w:val="20"/>
                  </w:rPr>
                  <w:t>☒</w:t>
                </w:r>
              </w:sdtContent>
            </w:sdt>
            <w:r w:rsidRPr="00D27CF3">
              <w:rPr>
                <w:rFonts w:ascii="Garamond" w:eastAsia="Times New Roman" w:hAnsi="Garamond"/>
                <w:sz w:val="20"/>
                <w:szCs w:val="20"/>
              </w:rPr>
              <w:t xml:space="preserve">  </w:t>
            </w:r>
            <w:r>
              <w:rPr>
                <w:rFonts w:ascii="Garamond" w:hAnsi="Garamond"/>
              </w:rPr>
              <w:t xml:space="preserve">Applicable to all    </w:t>
            </w:r>
            <w:r w:rsidRPr="007C7BDA">
              <w:rPr>
                <w:rFonts w:ascii="Garamond" w:hAnsi="Garamond"/>
              </w:rPr>
              <w:t xml:space="preserve">             </w:t>
            </w:r>
          </w:p>
        </w:tc>
        <w:tc>
          <w:tcPr>
            <w:tcW w:w="3150" w:type="dxa"/>
            <w:tcBorders>
              <w:bottom w:val="single" w:sz="12" w:space="0" w:color="8496B0" w:themeColor="text2" w:themeTint="99"/>
            </w:tcBorders>
            <w:shd w:val="clear" w:color="auto" w:fill="D9E2F3" w:themeFill="accent1" w:themeFillTint="33"/>
          </w:tcPr>
          <w:p w14:paraId="5E8D499B" w14:textId="2050633B" w:rsidR="00306973" w:rsidRPr="007C7BDA" w:rsidRDefault="00306973" w:rsidP="00C115EF">
            <w:pPr>
              <w:spacing w:before="60"/>
              <w:ind w:left="-15"/>
              <w:rPr>
                <w:rFonts w:ascii="Garamond" w:hAnsi="Garamond"/>
              </w:rPr>
            </w:pPr>
            <w:r>
              <w:rPr>
                <w:rFonts w:ascii="Garamond" w:hAnsi="Garamond"/>
              </w:rPr>
              <w:t xml:space="preserve">  </w:t>
            </w:r>
            <w:r w:rsidR="00076ED6">
              <w:rPr>
                <w:rFonts w:ascii="Garamond" w:hAnsi="Garamond"/>
                <w:noProof/>
              </w:rPr>
              <w:drawing>
                <wp:anchor distT="0" distB="0" distL="114300" distR="114300" simplePos="0" relativeHeight="251658273" behindDoc="0" locked="0" layoutInCell="1" allowOverlap="1" wp14:anchorId="46FBA400" wp14:editId="3ECF7E79">
                  <wp:simplePos x="0" y="0"/>
                  <wp:positionH relativeFrom="column">
                    <wp:posOffset>-1905</wp:posOffset>
                  </wp:positionH>
                  <wp:positionV relativeFrom="paragraph">
                    <wp:posOffset>1905</wp:posOffset>
                  </wp:positionV>
                  <wp:extent cx="295275" cy="295275"/>
                  <wp:effectExtent l="0" t="0" r="0" b="0"/>
                  <wp:wrapNone/>
                  <wp:docPr id="19" name="Graphic 19"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e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      Recommendation </w:t>
            </w:r>
            <w:r w:rsidRPr="005A2B6E">
              <w:rPr>
                <w:rFonts w:ascii="Garamond" w:hAnsi="Garamond"/>
              </w:rPr>
              <w:t xml:space="preserve">No. </w:t>
            </w:r>
            <w:r w:rsidR="00B80A2F">
              <w:rPr>
                <w:rFonts w:ascii="Garamond" w:hAnsi="Garamond"/>
              </w:rPr>
              <w:t>1</w:t>
            </w:r>
            <w:r w:rsidR="000E488A">
              <w:rPr>
                <w:rFonts w:ascii="Garamond" w:hAnsi="Garamond"/>
              </w:rPr>
              <w:t>1</w:t>
            </w:r>
          </w:p>
        </w:tc>
      </w:tr>
      <w:tr w:rsidR="00306973" w14:paraId="12178F50" w14:textId="77777777" w:rsidTr="003325D0">
        <w:trPr>
          <w:trHeight w:val="79"/>
          <w:jc w:val="center"/>
        </w:trPr>
        <w:tc>
          <w:tcPr>
            <w:tcW w:w="9630" w:type="dxa"/>
            <w:gridSpan w:val="3"/>
            <w:tcBorders>
              <w:left w:val="nil"/>
              <w:bottom w:val="single" w:sz="12" w:space="0" w:color="8496B0" w:themeColor="text2" w:themeTint="99"/>
              <w:right w:val="nil"/>
            </w:tcBorders>
          </w:tcPr>
          <w:p w14:paraId="58856F9C" w14:textId="77777777" w:rsidR="00306973" w:rsidRPr="00D27CF3" w:rsidRDefault="00306973" w:rsidP="00855C71">
            <w:pPr>
              <w:rPr>
                <w:rFonts w:eastAsia="Times New Roman" w:cstheme="minorHAnsi"/>
                <w:sz w:val="8"/>
                <w:szCs w:val="8"/>
              </w:rPr>
            </w:pPr>
          </w:p>
        </w:tc>
      </w:tr>
      <w:tr w:rsidR="00306973" w14:paraId="68234D1A" w14:textId="77777777" w:rsidTr="003325D0">
        <w:trPr>
          <w:trHeight w:val="285"/>
          <w:jc w:val="center"/>
        </w:trPr>
        <w:tc>
          <w:tcPr>
            <w:tcW w:w="9630" w:type="dxa"/>
            <w:gridSpan w:val="3"/>
            <w:tcBorders>
              <w:bottom w:val="nil"/>
            </w:tcBorders>
            <w:shd w:val="clear" w:color="auto" w:fill="D9E2F3" w:themeFill="accent1" w:themeFillTint="33"/>
          </w:tcPr>
          <w:p w14:paraId="2CE1A929" w14:textId="77777777" w:rsidR="00306973" w:rsidRPr="00D27CF3" w:rsidRDefault="00306973" w:rsidP="00855C71">
            <w:pPr>
              <w:spacing w:line="276" w:lineRule="auto"/>
              <w:rPr>
                <w:rFonts w:ascii="Garamond" w:eastAsia="Times New Roman" w:hAnsi="Garamond"/>
                <w:b/>
              </w:rPr>
            </w:pPr>
            <w:r w:rsidRPr="00D27CF3">
              <w:rPr>
                <w:rFonts w:ascii="Garamond" w:eastAsia="Times New Roman" w:hAnsi="Garamond"/>
                <w:b/>
              </w:rPr>
              <w:t xml:space="preserve">Main Categories:     </w:t>
            </w:r>
          </w:p>
        </w:tc>
      </w:tr>
      <w:tr w:rsidR="00306973" w14:paraId="0681D6F6" w14:textId="77777777" w:rsidTr="003325D0">
        <w:trPr>
          <w:trHeight w:val="774"/>
          <w:jc w:val="center"/>
        </w:trPr>
        <w:tc>
          <w:tcPr>
            <w:tcW w:w="4050" w:type="dxa"/>
            <w:tcBorders>
              <w:top w:val="nil"/>
              <w:bottom w:val="single" w:sz="12" w:space="0" w:color="8496B0" w:themeColor="text2" w:themeTint="99"/>
              <w:right w:val="nil"/>
            </w:tcBorders>
            <w:shd w:val="clear" w:color="auto" w:fill="D9E2F3" w:themeFill="accent1" w:themeFillTint="33"/>
          </w:tcPr>
          <w:p w14:paraId="2D51DC07"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238930419"/>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p w14:paraId="3872BC81"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1738238776"/>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24B6710A" w14:textId="77777777" w:rsidR="00306973" w:rsidRPr="00D27CF3" w:rsidRDefault="00306973" w:rsidP="00C115EF">
            <w:pPr>
              <w:spacing w:line="276" w:lineRule="auto"/>
              <w:ind w:left="360"/>
              <w:rPr>
                <w:rFonts w:ascii="Garamond" w:eastAsia="Times New Roman" w:hAnsi="Garamond"/>
                <w:sz w:val="20"/>
                <w:szCs w:val="20"/>
              </w:rPr>
            </w:pPr>
          </w:p>
        </w:tc>
        <w:tc>
          <w:tcPr>
            <w:tcW w:w="5580" w:type="dxa"/>
            <w:gridSpan w:val="2"/>
            <w:tcBorders>
              <w:top w:val="nil"/>
              <w:left w:val="nil"/>
              <w:bottom w:val="single" w:sz="12" w:space="0" w:color="8496B0" w:themeColor="text2" w:themeTint="99"/>
            </w:tcBorders>
            <w:shd w:val="clear" w:color="auto" w:fill="D9E2F3" w:themeFill="accent1" w:themeFillTint="33"/>
          </w:tcPr>
          <w:p w14:paraId="061B4DC0"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393098922"/>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 incl. Risk Spend Efficiency</w:t>
            </w:r>
          </w:p>
          <w:p w14:paraId="60826C4E" w14:textId="77777777" w:rsidR="00306973" w:rsidRPr="00D27CF3" w:rsidRDefault="00E20D41" w:rsidP="00C115EF">
            <w:pPr>
              <w:spacing w:line="276" w:lineRule="auto"/>
              <w:ind w:left="360"/>
              <w:rPr>
                <w:rFonts w:ascii="Garamond" w:eastAsia="Times New Roman" w:hAnsi="Garamond"/>
                <w:sz w:val="20"/>
                <w:szCs w:val="20"/>
              </w:rPr>
            </w:pPr>
            <w:sdt>
              <w:sdtPr>
                <w:rPr>
                  <w:rFonts w:ascii="Segoe UI Symbol" w:eastAsia="Times New Roman" w:hAnsi="Segoe UI Symbol" w:cs="Segoe UI Symbol"/>
                  <w:sz w:val="20"/>
                  <w:szCs w:val="20"/>
                </w:rPr>
                <w:id w:val="1763115821"/>
                <w14:checkbox>
                  <w14:checked w14:val="1"/>
                  <w14:checkedState w14:val="2612" w14:font="MS Gothic"/>
                  <w14:uncheckedState w14:val="2610" w14:font="MS Gothic"/>
                </w14:checkbox>
              </w:sdtPr>
              <w:sdtEndPr/>
              <w:sdtContent>
                <w:r w:rsidR="00306973" w:rsidRPr="00D27CF3">
                  <w:rPr>
                    <w:rFonts w:ascii="MS Gothic" w:eastAsia="MS Gothic" w:hAnsi="MS Gothic" w:cs="Segoe UI Symbol" w:hint="eastAsia"/>
                    <w:sz w:val="20"/>
                    <w:szCs w:val="20"/>
                  </w:rPr>
                  <w:t>☒</w:t>
                </w:r>
              </w:sdtContent>
            </w:sdt>
            <w:r w:rsidR="00306973" w:rsidRPr="00D27CF3">
              <w:rPr>
                <w:rFonts w:ascii="Garamond" w:eastAsia="Times New Roman" w:hAnsi="Garamond"/>
                <w:sz w:val="20"/>
                <w:szCs w:val="20"/>
              </w:rPr>
              <w:t xml:space="preserve"> Communication with the community, planning, preparedness and recovery after PSPS events</w:t>
            </w:r>
          </w:p>
        </w:tc>
      </w:tr>
      <w:tr w:rsidR="00306973" w14:paraId="7B3806B6" w14:textId="77777777" w:rsidTr="003325D0">
        <w:trPr>
          <w:trHeight w:val="43"/>
          <w:jc w:val="center"/>
        </w:trPr>
        <w:tc>
          <w:tcPr>
            <w:tcW w:w="9630" w:type="dxa"/>
            <w:gridSpan w:val="3"/>
            <w:tcBorders>
              <w:left w:val="nil"/>
              <w:bottom w:val="single" w:sz="12" w:space="0" w:color="8496B0" w:themeColor="text2" w:themeTint="99"/>
              <w:right w:val="nil"/>
            </w:tcBorders>
          </w:tcPr>
          <w:p w14:paraId="3E20610D" w14:textId="77777777" w:rsidR="00306973" w:rsidRPr="00D27CF3" w:rsidRDefault="00306973" w:rsidP="00855C71">
            <w:pPr>
              <w:spacing w:line="276" w:lineRule="auto"/>
              <w:rPr>
                <w:rFonts w:eastAsia="Times New Roman" w:cstheme="minorHAnsi"/>
                <w:sz w:val="8"/>
                <w:szCs w:val="8"/>
              </w:rPr>
            </w:pPr>
          </w:p>
        </w:tc>
      </w:tr>
      <w:tr w:rsidR="00306973" w14:paraId="07DFA718" w14:textId="77777777" w:rsidTr="003325D0">
        <w:trPr>
          <w:trHeight w:val="43"/>
          <w:jc w:val="center"/>
        </w:trPr>
        <w:tc>
          <w:tcPr>
            <w:tcW w:w="9630" w:type="dxa"/>
            <w:gridSpan w:val="3"/>
            <w:tcBorders>
              <w:bottom w:val="nil"/>
            </w:tcBorders>
            <w:shd w:val="clear" w:color="auto" w:fill="D9E2F3" w:themeFill="accent1" w:themeFillTint="33"/>
          </w:tcPr>
          <w:p w14:paraId="2F666FE6" w14:textId="77777777" w:rsidR="00306973" w:rsidRPr="007C7BDA" w:rsidRDefault="00306973" w:rsidP="00855C71">
            <w:pPr>
              <w:spacing w:before="60" w:line="276" w:lineRule="auto"/>
              <w:rPr>
                <w:rFonts w:ascii="Garamond" w:hAnsi="Garamond"/>
                <w:b/>
                <w:bCs/>
              </w:rPr>
            </w:pPr>
            <w:r w:rsidRPr="007C7BDA">
              <w:rPr>
                <w:rFonts w:ascii="Garamond" w:hAnsi="Garamond"/>
                <w:b/>
                <w:bCs/>
              </w:rPr>
              <w:t xml:space="preserve">Wildfire Mitigation Maturity Categories: </w:t>
            </w:r>
          </w:p>
        </w:tc>
      </w:tr>
      <w:tr w:rsidR="00306973" w14:paraId="63BE0BBD" w14:textId="77777777" w:rsidTr="003325D0">
        <w:trPr>
          <w:trHeight w:val="1638"/>
          <w:jc w:val="center"/>
        </w:trPr>
        <w:tc>
          <w:tcPr>
            <w:tcW w:w="4050" w:type="dxa"/>
            <w:tcBorders>
              <w:top w:val="nil"/>
              <w:bottom w:val="single" w:sz="12" w:space="0" w:color="8496B0" w:themeColor="text2" w:themeTint="99"/>
              <w:right w:val="nil"/>
            </w:tcBorders>
            <w:shd w:val="clear" w:color="auto" w:fill="D9E2F3" w:themeFill="accent1" w:themeFillTint="33"/>
          </w:tcPr>
          <w:p w14:paraId="2A1A03B6"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446663531"/>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Risk assessment and mapping</w:t>
            </w:r>
          </w:p>
          <w:p w14:paraId="430D153D" w14:textId="77777777" w:rsidR="00306973" w:rsidRPr="00D27CF3" w:rsidRDefault="00E20D41" w:rsidP="00855C71">
            <w:pPr>
              <w:spacing w:line="276" w:lineRule="auto"/>
              <w:ind w:left="360"/>
              <w:rPr>
                <w:rFonts w:ascii="Garamond" w:eastAsia="Times New Roman" w:hAnsi="Garamond"/>
                <w:sz w:val="20"/>
                <w:szCs w:val="20"/>
              </w:rPr>
            </w:pPr>
            <w:sdt>
              <w:sdtPr>
                <w:rPr>
                  <w:rFonts w:ascii="Garamond" w:eastAsia="Times New Roman" w:hAnsi="Garamond"/>
                  <w:sz w:val="20"/>
                  <w:szCs w:val="20"/>
                </w:rPr>
                <w:id w:val="-618609626"/>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Situational awareness and forecasting</w:t>
            </w:r>
          </w:p>
          <w:p w14:paraId="67F4A0DF"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069608111"/>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design and system hardening</w:t>
            </w:r>
          </w:p>
          <w:p w14:paraId="2ECC7171"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1936398617"/>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Asset management and inspections</w:t>
            </w:r>
          </w:p>
          <w:p w14:paraId="7428BB23"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322639097"/>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Vegetation management and inspections</w:t>
            </w:r>
          </w:p>
        </w:tc>
        <w:tc>
          <w:tcPr>
            <w:tcW w:w="5580" w:type="dxa"/>
            <w:gridSpan w:val="2"/>
            <w:tcBorders>
              <w:top w:val="nil"/>
              <w:left w:val="nil"/>
              <w:bottom w:val="single" w:sz="12" w:space="0" w:color="8496B0" w:themeColor="text2" w:themeTint="99"/>
            </w:tcBorders>
            <w:shd w:val="clear" w:color="auto" w:fill="D9E2F3" w:themeFill="accent1" w:themeFillTint="33"/>
          </w:tcPr>
          <w:p w14:paraId="59A02BAB"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825050907"/>
                <w14:checkbox>
                  <w14:checked w14:val="1"/>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Grid operations and protocols</w:t>
            </w:r>
          </w:p>
          <w:p w14:paraId="70B825FF"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018836443"/>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Data governance</w:t>
            </w:r>
          </w:p>
          <w:p w14:paraId="63969089"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599341164"/>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Resource allocation methodology </w:t>
            </w:r>
          </w:p>
          <w:p w14:paraId="2233BD00" w14:textId="77777777" w:rsidR="00306973" w:rsidRPr="00D27CF3" w:rsidRDefault="00E20D41" w:rsidP="00C115EF">
            <w:pPr>
              <w:spacing w:line="276" w:lineRule="auto"/>
              <w:ind w:left="360"/>
              <w:rPr>
                <w:rFonts w:ascii="Garamond" w:eastAsia="Times New Roman" w:hAnsi="Garamond"/>
                <w:sz w:val="20"/>
                <w:szCs w:val="20"/>
              </w:rPr>
            </w:pPr>
            <w:sdt>
              <w:sdtPr>
                <w:rPr>
                  <w:rFonts w:ascii="Garamond" w:eastAsia="Times New Roman" w:hAnsi="Garamond"/>
                  <w:sz w:val="20"/>
                  <w:szCs w:val="20"/>
                </w:rPr>
                <w:id w:val="-274876646"/>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Emergency planning and preparedness</w:t>
            </w:r>
          </w:p>
          <w:p w14:paraId="35E66BB0" w14:textId="77777777" w:rsidR="00306973" w:rsidRPr="00D27CF3" w:rsidRDefault="00E20D41" w:rsidP="00C115EF">
            <w:pPr>
              <w:spacing w:before="60" w:line="276" w:lineRule="auto"/>
              <w:ind w:left="360"/>
              <w:rPr>
                <w:rFonts w:ascii="Garamond" w:eastAsia="Times New Roman" w:hAnsi="Garamond"/>
                <w:sz w:val="20"/>
                <w:szCs w:val="20"/>
              </w:rPr>
            </w:pPr>
            <w:sdt>
              <w:sdtPr>
                <w:rPr>
                  <w:rFonts w:ascii="Garamond" w:eastAsia="Times New Roman" w:hAnsi="Garamond"/>
                  <w:sz w:val="20"/>
                  <w:szCs w:val="20"/>
                </w:rPr>
                <w:id w:val="-1061103214"/>
                <w14:checkbox>
                  <w14:checked w14:val="0"/>
                  <w14:checkedState w14:val="2612" w14:font="MS Gothic"/>
                  <w14:uncheckedState w14:val="2610" w14:font="MS Gothic"/>
                </w14:checkbox>
              </w:sdtPr>
              <w:sdtEndPr/>
              <w:sdtContent>
                <w:r w:rsidR="00306973" w:rsidRPr="00D27CF3">
                  <w:rPr>
                    <w:rFonts w:ascii="MS Gothic" w:eastAsia="MS Gothic" w:hAnsi="MS Gothic" w:hint="eastAsia"/>
                    <w:sz w:val="20"/>
                    <w:szCs w:val="20"/>
                  </w:rPr>
                  <w:t>☐</w:t>
                </w:r>
              </w:sdtContent>
            </w:sdt>
            <w:r w:rsidR="00306973" w:rsidRPr="00D27CF3">
              <w:rPr>
                <w:rFonts w:ascii="Garamond" w:eastAsia="Times New Roman" w:hAnsi="Garamond"/>
                <w:sz w:val="20"/>
                <w:szCs w:val="20"/>
              </w:rPr>
              <w:t xml:space="preserve">  Stakeholder cooperation and community engagement</w:t>
            </w:r>
          </w:p>
        </w:tc>
      </w:tr>
      <w:tr w:rsidR="00306973" w14:paraId="69FDF324" w14:textId="77777777" w:rsidTr="003325D0">
        <w:trPr>
          <w:trHeight w:val="51"/>
          <w:jc w:val="center"/>
        </w:trPr>
        <w:tc>
          <w:tcPr>
            <w:tcW w:w="9630" w:type="dxa"/>
            <w:gridSpan w:val="3"/>
            <w:tcBorders>
              <w:left w:val="nil"/>
              <w:right w:val="nil"/>
            </w:tcBorders>
          </w:tcPr>
          <w:p w14:paraId="0CD53279" w14:textId="77777777" w:rsidR="00306973" w:rsidRPr="007D218D" w:rsidRDefault="00306973" w:rsidP="00855C71">
            <w:pPr>
              <w:rPr>
                <w:rFonts w:cstheme="minorHAnsi"/>
                <w:sz w:val="8"/>
                <w:szCs w:val="8"/>
              </w:rPr>
            </w:pPr>
          </w:p>
        </w:tc>
      </w:tr>
      <w:tr w:rsidR="00306973" w14:paraId="2D8C37F5" w14:textId="77777777" w:rsidTr="003325D0">
        <w:trPr>
          <w:trHeight w:val="489"/>
          <w:jc w:val="center"/>
        </w:trPr>
        <w:tc>
          <w:tcPr>
            <w:tcW w:w="9630" w:type="dxa"/>
            <w:gridSpan w:val="3"/>
            <w:shd w:val="clear" w:color="auto" w:fill="D9E2F3" w:themeFill="accent1" w:themeFillTint="33"/>
          </w:tcPr>
          <w:p w14:paraId="4E65AC34" w14:textId="77777777" w:rsidR="00306973" w:rsidRPr="00D95954" w:rsidRDefault="00306973" w:rsidP="00855C71">
            <w:pPr>
              <w:spacing w:before="60"/>
              <w:ind w:left="432"/>
              <w:rPr>
                <w:rFonts w:ascii="Garamond" w:hAnsi="Garamond"/>
              </w:rPr>
            </w:pPr>
            <w:r w:rsidRPr="00FE554E">
              <w:rPr>
                <w:rFonts w:ascii="Garamond" w:hAnsi="Garamond"/>
                <w:b/>
                <w:bCs/>
                <w:noProof/>
              </w:rPr>
              <w:drawing>
                <wp:anchor distT="0" distB="0" distL="114300" distR="114300" simplePos="0" relativeHeight="251658263" behindDoc="0" locked="0" layoutInCell="1" allowOverlap="1" wp14:anchorId="69DE47DC" wp14:editId="0F77C4B3">
                  <wp:simplePos x="0" y="0"/>
                  <wp:positionH relativeFrom="leftMargin">
                    <wp:posOffset>59690</wp:posOffset>
                  </wp:positionH>
                  <wp:positionV relativeFrom="paragraph">
                    <wp:posOffset>37677</wp:posOffset>
                  </wp:positionV>
                  <wp:extent cx="245534" cy="194627"/>
                  <wp:effectExtent l="0" t="0" r="0" b="0"/>
                  <wp:wrapNone/>
                  <wp:docPr id="60" name="Graphic 60"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ch.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245534" cy="194627"/>
                          </a:xfrm>
                          <a:prstGeom prst="rect">
                            <a:avLst/>
                          </a:prstGeom>
                        </pic:spPr>
                      </pic:pic>
                    </a:graphicData>
                  </a:graphic>
                  <wp14:sizeRelH relativeFrom="margin">
                    <wp14:pctWidth>0</wp14:pctWidth>
                  </wp14:sizeRelH>
                  <wp14:sizeRelV relativeFrom="margin">
                    <wp14:pctHeight>0</wp14:pctHeight>
                  </wp14:sizeRelV>
                </wp:anchor>
              </w:drawing>
            </w:r>
            <w:r w:rsidRPr="00FE554E">
              <w:rPr>
                <w:rFonts w:ascii="Garamond" w:hAnsi="Garamond"/>
                <w:b/>
                <w:bCs/>
              </w:rPr>
              <w:t>Timing:</w:t>
            </w:r>
            <w:r w:rsidRPr="006705ED">
              <w:rPr>
                <w:rFonts w:ascii="Garamond" w:hAnsi="Garamond"/>
              </w:rPr>
              <w:t xml:space="preserve">    </w:t>
            </w:r>
            <w:sdt>
              <w:sdtPr>
                <w:rPr>
                  <w:rFonts w:ascii="Garamond" w:hAnsi="Garamond"/>
                </w:rPr>
                <w:id w:val="461707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F7E3D">
              <w:rPr>
                <w:rFonts w:ascii="Garamond" w:hAnsi="Garamond"/>
              </w:rPr>
              <w:t xml:space="preserve"> </w:t>
            </w:r>
            <w:r w:rsidRPr="006705ED">
              <w:rPr>
                <w:rFonts w:ascii="Garamond" w:hAnsi="Garamond"/>
              </w:rPr>
              <w:t>Immediate</w:t>
            </w:r>
            <w:r>
              <w:rPr>
                <w:rFonts w:ascii="Garamond" w:hAnsi="Garamond"/>
              </w:rPr>
              <w:t xml:space="preserve">     </w:t>
            </w:r>
            <w:sdt>
              <w:sdtPr>
                <w:rPr>
                  <w:rFonts w:ascii="Garamond" w:hAnsi="Garamond"/>
                </w:rPr>
                <w:id w:val="-205113098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Near Term </w:t>
            </w:r>
            <w:r>
              <w:rPr>
                <w:rFonts w:ascii="Garamond" w:hAnsi="Garamond"/>
              </w:rPr>
              <w:t xml:space="preserve">    </w:t>
            </w:r>
            <w:sdt>
              <w:sdtPr>
                <w:rPr>
                  <w:rFonts w:ascii="Garamond" w:hAnsi="Garamond"/>
                </w:rPr>
                <w:id w:val="-85473303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705ED">
              <w:rPr>
                <w:rFonts w:ascii="Garamond" w:hAnsi="Garamond"/>
              </w:rPr>
              <w:t xml:space="preserve"> Mid Term </w:t>
            </w:r>
            <w:r>
              <w:rPr>
                <w:rFonts w:ascii="Garamond" w:hAnsi="Garamond"/>
              </w:rPr>
              <w:t xml:space="preserve">    </w:t>
            </w:r>
            <w:sdt>
              <w:sdtPr>
                <w:rPr>
                  <w:rFonts w:ascii="Garamond" w:hAnsi="Garamond"/>
                </w:rPr>
                <w:id w:val="-964896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w:t>
            </w:r>
            <w:r w:rsidRPr="006705ED">
              <w:rPr>
                <w:rFonts w:ascii="Garamond" w:hAnsi="Garamond"/>
              </w:rPr>
              <w:t xml:space="preserve">Long Term </w:t>
            </w:r>
          </w:p>
        </w:tc>
      </w:tr>
    </w:tbl>
    <w:p w14:paraId="774B8F83" w14:textId="77777777" w:rsidR="00306973" w:rsidRDefault="00306973" w:rsidP="00855C71">
      <w:pPr>
        <w:spacing w:after="0"/>
        <w:rPr>
          <w:rFonts w:ascii="Century Gothic" w:hAnsi="Century Gothic"/>
        </w:rPr>
      </w:pPr>
    </w:p>
    <w:p w14:paraId="28CD88CE" w14:textId="77777777" w:rsidR="00306973" w:rsidRDefault="00306973" w:rsidP="00855C71">
      <w:pPr>
        <w:rPr>
          <w:rFonts w:ascii="Century Gothic" w:hAnsi="Century Gothic"/>
        </w:rPr>
      </w:pPr>
      <w:r>
        <w:rPr>
          <w:rFonts w:ascii="Century Gothic" w:hAnsi="Century Gothic"/>
        </w:rPr>
        <w:t>Issue/Metric:</w:t>
      </w:r>
    </w:p>
    <w:p w14:paraId="7006162F" w14:textId="4550B2F5" w:rsidR="00306973" w:rsidRPr="00D27CF3" w:rsidRDefault="00AF582B" w:rsidP="00C115EF">
      <w:pPr>
        <w:pStyle w:val="ListParagraph"/>
        <w:numPr>
          <w:ilvl w:val="0"/>
          <w:numId w:val="12"/>
        </w:numPr>
        <w:spacing w:after="0"/>
        <w:contextualSpacing w:val="0"/>
        <w:rPr>
          <w:rFonts w:ascii="Century Gothic" w:hAnsi="Century Gothic"/>
          <w:sz w:val="24"/>
          <w:szCs w:val="24"/>
        </w:rPr>
      </w:pPr>
      <w:r>
        <w:rPr>
          <w:rFonts w:ascii="Garamond" w:eastAsia="Times New Roman" w:hAnsi="Garamond"/>
          <w:sz w:val="24"/>
          <w:szCs w:val="24"/>
        </w:rPr>
        <w:t>T</w:t>
      </w:r>
      <w:r w:rsidR="00306973" w:rsidRPr="00D27CF3">
        <w:rPr>
          <w:rFonts w:ascii="Garamond" w:eastAsia="Times New Roman" w:hAnsi="Garamond"/>
          <w:sz w:val="24"/>
          <w:szCs w:val="24"/>
        </w:rPr>
        <w:t xml:space="preserve">echnology and grid upgrades </w:t>
      </w:r>
      <w:r>
        <w:rPr>
          <w:rFonts w:ascii="Garamond" w:eastAsia="Times New Roman" w:hAnsi="Garamond"/>
          <w:sz w:val="24"/>
          <w:szCs w:val="24"/>
        </w:rPr>
        <w:t>that prioritize</w:t>
      </w:r>
      <w:r w:rsidR="00306973" w:rsidRPr="00D27CF3">
        <w:rPr>
          <w:rFonts w:ascii="Garamond" w:eastAsia="Times New Roman" w:hAnsi="Garamond"/>
          <w:sz w:val="24"/>
          <w:szCs w:val="24"/>
        </w:rPr>
        <w:t xml:space="preserve"> line re-energizations</w:t>
      </w:r>
      <w:r w:rsidR="00522E1B">
        <w:rPr>
          <w:rFonts w:ascii="Garamond" w:eastAsia="Times New Roman" w:hAnsi="Garamond"/>
          <w:sz w:val="24"/>
          <w:szCs w:val="24"/>
        </w:rPr>
        <w:t xml:space="preserve"> </w:t>
      </w:r>
      <w:r w:rsidR="00604E1D">
        <w:rPr>
          <w:rFonts w:ascii="Garamond" w:eastAsia="Times New Roman" w:hAnsi="Garamond"/>
          <w:sz w:val="24"/>
          <w:szCs w:val="24"/>
        </w:rPr>
        <w:t xml:space="preserve">and the </w:t>
      </w:r>
      <w:r w:rsidR="00C8258F">
        <w:rPr>
          <w:rFonts w:ascii="Garamond" w:eastAsia="Times New Roman" w:hAnsi="Garamond"/>
          <w:sz w:val="24"/>
          <w:szCs w:val="24"/>
        </w:rPr>
        <w:t xml:space="preserve">quick </w:t>
      </w:r>
      <w:r w:rsidR="001646D3">
        <w:rPr>
          <w:rFonts w:ascii="Garamond" w:eastAsia="Times New Roman" w:hAnsi="Garamond"/>
          <w:sz w:val="24"/>
          <w:szCs w:val="24"/>
        </w:rPr>
        <w:t xml:space="preserve">restoration </w:t>
      </w:r>
      <w:r w:rsidR="00B332FD">
        <w:rPr>
          <w:rFonts w:ascii="Garamond" w:eastAsia="Times New Roman" w:hAnsi="Garamond"/>
          <w:sz w:val="24"/>
          <w:szCs w:val="24"/>
        </w:rPr>
        <w:t xml:space="preserve">of </w:t>
      </w:r>
      <w:r w:rsidR="00306973" w:rsidRPr="00D27CF3">
        <w:rPr>
          <w:rFonts w:ascii="Garamond" w:eastAsia="Times New Roman" w:hAnsi="Garamond"/>
          <w:sz w:val="24"/>
          <w:szCs w:val="24"/>
        </w:rPr>
        <w:t>electricity service to customers.</w:t>
      </w:r>
    </w:p>
    <w:p w14:paraId="348DF0A0" w14:textId="77777777" w:rsidR="00306973" w:rsidRDefault="00306973" w:rsidP="00855C71">
      <w:pPr>
        <w:spacing w:after="0"/>
        <w:rPr>
          <w:rFonts w:ascii="Century Gothic" w:hAnsi="Century Gothic"/>
        </w:rPr>
      </w:pPr>
    </w:p>
    <w:p w14:paraId="4455052A" w14:textId="7D1FED8D" w:rsidR="00306973" w:rsidRDefault="00306973" w:rsidP="00855C71">
      <w:pPr>
        <w:rPr>
          <w:rFonts w:ascii="Century Gothic" w:hAnsi="Century Gothic"/>
        </w:rPr>
      </w:pPr>
      <w:r>
        <w:rPr>
          <w:rFonts w:ascii="Century Gothic" w:hAnsi="Century Gothic"/>
        </w:rPr>
        <w:t>Current WMP Requirement</w:t>
      </w:r>
      <w:r w:rsidR="00B80271">
        <w:rPr>
          <w:rFonts w:ascii="Century Gothic" w:hAnsi="Century Gothic"/>
        </w:rPr>
        <w:t>s</w:t>
      </w:r>
      <w:r>
        <w:rPr>
          <w:rFonts w:ascii="Century Gothic" w:hAnsi="Century Gothic"/>
        </w:rPr>
        <w:t>:</w:t>
      </w:r>
    </w:p>
    <w:p w14:paraId="0CB3EA56" w14:textId="77777777" w:rsidR="00306973" w:rsidRPr="00D27CF3" w:rsidRDefault="00306973" w:rsidP="00C115EF">
      <w:pPr>
        <w:pStyle w:val="ListParagraph"/>
        <w:numPr>
          <w:ilvl w:val="0"/>
          <w:numId w:val="13"/>
        </w:numPr>
        <w:contextualSpacing w:val="0"/>
        <w:rPr>
          <w:rFonts w:ascii="Garamond" w:hAnsi="Garamond"/>
          <w:sz w:val="24"/>
          <w:szCs w:val="24"/>
        </w:rPr>
      </w:pPr>
      <w:r w:rsidRPr="00D27CF3">
        <w:rPr>
          <w:rFonts w:ascii="Garamond" w:hAnsi="Garamond"/>
          <w:sz w:val="24"/>
          <w:szCs w:val="24"/>
        </w:rPr>
        <w:t xml:space="preserve">Section 5.3.9 of the WMP Guidelines </w:t>
      </w:r>
      <w:r w:rsidRPr="00D27CF3">
        <w:rPr>
          <w:rFonts w:ascii="Garamond" w:eastAsia="Times New Roman" w:hAnsi="Garamond"/>
          <w:sz w:val="24"/>
          <w:szCs w:val="24"/>
        </w:rPr>
        <w:t xml:space="preserve">requires </w:t>
      </w:r>
      <w:r w:rsidRPr="00D27CF3">
        <w:rPr>
          <w:rFonts w:ascii="Garamond" w:hAnsi="Garamond"/>
          <w:sz w:val="24"/>
          <w:szCs w:val="24"/>
        </w:rPr>
        <w:t xml:space="preserve">utilities to provide a general description of the overall energy preparedness and response plan showing an adequate and trained workforce that can promptly restore service after a major event, </w:t>
      </w:r>
      <w:proofErr w:type="gramStart"/>
      <w:r w:rsidRPr="00D27CF3">
        <w:rPr>
          <w:rFonts w:ascii="Garamond" w:hAnsi="Garamond"/>
          <w:sz w:val="24"/>
          <w:szCs w:val="24"/>
        </w:rPr>
        <w:t>taking into account</w:t>
      </w:r>
      <w:proofErr w:type="gramEnd"/>
      <w:r w:rsidRPr="00D27CF3">
        <w:rPr>
          <w:rFonts w:ascii="Garamond" w:hAnsi="Garamond"/>
          <w:sz w:val="24"/>
          <w:szCs w:val="24"/>
        </w:rPr>
        <w:t xml:space="preserve"> mutual aid and contractors.</w:t>
      </w:r>
    </w:p>
    <w:p w14:paraId="6D31A30E" w14:textId="77777777" w:rsidR="00306973" w:rsidRPr="00D27CF3" w:rsidRDefault="00306973" w:rsidP="00C115EF">
      <w:pPr>
        <w:pStyle w:val="ListParagraph"/>
        <w:numPr>
          <w:ilvl w:val="0"/>
          <w:numId w:val="13"/>
        </w:numPr>
        <w:contextualSpacing w:val="0"/>
        <w:rPr>
          <w:sz w:val="24"/>
          <w:szCs w:val="24"/>
        </w:rPr>
      </w:pPr>
      <w:r w:rsidRPr="00D27CF3">
        <w:rPr>
          <w:rFonts w:ascii="Garamond" w:eastAsia="Times New Roman" w:hAnsi="Garamond"/>
          <w:sz w:val="24"/>
          <w:szCs w:val="24"/>
        </w:rPr>
        <w:t>Section 5.3.11 of the WMP Guidelines requires utilities to detail how they plan to conduct inspections and remediation necessary to re-energize power lines and restore service to customers.</w:t>
      </w:r>
    </w:p>
    <w:p w14:paraId="24494AAC" w14:textId="77777777" w:rsidR="00306973" w:rsidRPr="00D27CF3" w:rsidRDefault="00306973" w:rsidP="00C115EF">
      <w:pPr>
        <w:pStyle w:val="ListParagraph"/>
        <w:numPr>
          <w:ilvl w:val="0"/>
          <w:numId w:val="13"/>
        </w:numPr>
        <w:spacing w:after="0"/>
        <w:contextualSpacing w:val="0"/>
        <w:rPr>
          <w:sz w:val="24"/>
          <w:szCs w:val="24"/>
        </w:rPr>
      </w:pPr>
      <w:r w:rsidRPr="00D27CF3">
        <w:rPr>
          <w:rFonts w:ascii="Garamond" w:eastAsia="Times New Roman" w:hAnsi="Garamond"/>
          <w:sz w:val="24"/>
          <w:szCs w:val="24"/>
        </w:rPr>
        <w:t xml:space="preserve">Section 5.3.11 of the WMP Guidelines requires utilities to detail how they are designing and executing procedures that accelerate the restoration of electric service in areas that were de-energized, while maintaining safety and reliability standards. </w:t>
      </w:r>
    </w:p>
    <w:p w14:paraId="2AC26241" w14:textId="77777777" w:rsidR="00306973" w:rsidRPr="00D27CF3" w:rsidRDefault="00306973" w:rsidP="00C115EF">
      <w:pPr>
        <w:spacing w:after="0"/>
        <w:rPr>
          <w:sz w:val="24"/>
          <w:szCs w:val="24"/>
        </w:rPr>
      </w:pPr>
    </w:p>
    <w:p w14:paraId="7E40332C" w14:textId="279BFA24" w:rsidR="00306973" w:rsidRPr="00D27CF3" w:rsidRDefault="00B80271" w:rsidP="00C115EF">
      <w:pPr>
        <w:rPr>
          <w:rFonts w:ascii="Century Gothic" w:eastAsia="Times New Roman" w:hAnsi="Century Gothic"/>
        </w:rPr>
      </w:pPr>
      <w:r w:rsidRPr="00D27CF3">
        <w:rPr>
          <w:rFonts w:ascii="Century Gothic" w:eastAsia="Times New Roman" w:hAnsi="Century Gothic"/>
        </w:rPr>
        <w:t xml:space="preserve">Board </w:t>
      </w:r>
      <w:r w:rsidR="00306973" w:rsidRPr="00D27CF3">
        <w:rPr>
          <w:rFonts w:ascii="Century Gothic" w:eastAsia="Times New Roman" w:hAnsi="Century Gothic"/>
        </w:rPr>
        <w:t xml:space="preserve">Recommendation: </w:t>
      </w:r>
    </w:p>
    <w:p w14:paraId="6C9D8882" w14:textId="16E404FB" w:rsidR="00306973" w:rsidRPr="00281061" w:rsidRDefault="00306973" w:rsidP="00C115EF">
      <w:pPr>
        <w:pStyle w:val="ListParagraph"/>
        <w:numPr>
          <w:ilvl w:val="0"/>
          <w:numId w:val="11"/>
        </w:numPr>
        <w:spacing w:after="0"/>
        <w:ind w:left="360"/>
        <w:contextualSpacing w:val="0"/>
      </w:pPr>
      <w:r w:rsidRPr="00D27CF3">
        <w:rPr>
          <w:rFonts w:ascii="Garamond" w:eastAsia="Times New Roman" w:hAnsi="Garamond"/>
          <w:sz w:val="24"/>
          <w:szCs w:val="24"/>
        </w:rPr>
        <w:t xml:space="preserve">The Wildfire Safety Division should consider directing the utilities to </w:t>
      </w:r>
      <w:r w:rsidR="00E863B0" w:rsidRPr="00D27CF3">
        <w:rPr>
          <w:rFonts w:ascii="Garamond" w:eastAsia="Times New Roman" w:hAnsi="Garamond"/>
          <w:sz w:val="24"/>
          <w:szCs w:val="24"/>
        </w:rPr>
        <w:t xml:space="preserve">develop informal </w:t>
      </w:r>
      <w:r w:rsidR="008A2FA7" w:rsidRPr="00D27CF3">
        <w:rPr>
          <w:rFonts w:ascii="Garamond" w:eastAsia="Times New Roman" w:hAnsi="Garamond"/>
          <w:sz w:val="24"/>
          <w:szCs w:val="24"/>
        </w:rPr>
        <w:t xml:space="preserve">and </w:t>
      </w:r>
      <w:r w:rsidR="00E863B0" w:rsidRPr="00D27CF3">
        <w:rPr>
          <w:rFonts w:ascii="Garamond" w:eastAsia="Times New Roman" w:hAnsi="Garamond"/>
          <w:sz w:val="24"/>
          <w:szCs w:val="24"/>
        </w:rPr>
        <w:t xml:space="preserve">specific re-energization timeframe goals for the 2020 WMPs </w:t>
      </w:r>
      <w:r w:rsidR="008E0FF5">
        <w:rPr>
          <w:rFonts w:ascii="Garamond" w:eastAsia="Times New Roman" w:hAnsi="Garamond"/>
          <w:sz w:val="24"/>
          <w:szCs w:val="24"/>
        </w:rPr>
        <w:t>consider inserting</w:t>
      </w:r>
      <w:r w:rsidR="00E863B0" w:rsidRPr="00D27CF3">
        <w:rPr>
          <w:rFonts w:ascii="Garamond" w:eastAsia="Times New Roman" w:hAnsi="Garamond"/>
          <w:sz w:val="24"/>
          <w:szCs w:val="24"/>
        </w:rPr>
        <w:t xml:space="preserve"> those goals in the 2021 WMPs. </w:t>
      </w:r>
      <w:r w:rsidR="00E66AFF">
        <w:rPr>
          <w:rFonts w:ascii="Garamond" w:eastAsia="Times New Roman" w:hAnsi="Garamond"/>
          <w:sz w:val="24"/>
          <w:szCs w:val="24"/>
        </w:rPr>
        <w:t xml:space="preserve"> </w:t>
      </w:r>
      <w:r w:rsidRPr="00D27CF3">
        <w:rPr>
          <w:rFonts w:ascii="Garamond" w:eastAsia="Times New Roman" w:hAnsi="Garamond"/>
          <w:sz w:val="24"/>
          <w:szCs w:val="24"/>
        </w:rPr>
        <w:t xml:space="preserve">The </w:t>
      </w:r>
      <w:r w:rsidR="009123FC" w:rsidRPr="00D27CF3">
        <w:rPr>
          <w:rFonts w:ascii="Garamond" w:eastAsia="Times New Roman" w:hAnsi="Garamond"/>
          <w:sz w:val="24"/>
          <w:szCs w:val="24"/>
        </w:rPr>
        <w:t>utilit</w:t>
      </w:r>
      <w:r w:rsidR="009123FC">
        <w:rPr>
          <w:rFonts w:ascii="Garamond" w:eastAsia="Times New Roman" w:hAnsi="Garamond"/>
          <w:sz w:val="24"/>
          <w:szCs w:val="24"/>
        </w:rPr>
        <w:t>ie</w:t>
      </w:r>
      <w:r w:rsidR="009123FC" w:rsidRPr="00D27CF3">
        <w:rPr>
          <w:rFonts w:ascii="Garamond" w:eastAsia="Times New Roman" w:hAnsi="Garamond"/>
          <w:sz w:val="24"/>
          <w:szCs w:val="24"/>
        </w:rPr>
        <w:t>s</w:t>
      </w:r>
      <w:r w:rsidR="009123FC">
        <w:rPr>
          <w:rFonts w:ascii="Garamond" w:eastAsia="Times New Roman" w:hAnsi="Garamond"/>
          <w:sz w:val="24"/>
          <w:szCs w:val="24"/>
        </w:rPr>
        <w:t>’</w:t>
      </w:r>
      <w:r w:rsidR="009123FC" w:rsidRPr="00D27CF3">
        <w:rPr>
          <w:rFonts w:ascii="Garamond" w:eastAsia="Times New Roman" w:hAnsi="Garamond"/>
          <w:sz w:val="24"/>
          <w:szCs w:val="24"/>
        </w:rPr>
        <w:t xml:space="preserve"> </w:t>
      </w:r>
      <w:r w:rsidRPr="00D27CF3">
        <w:rPr>
          <w:rFonts w:ascii="Garamond" w:eastAsia="Times New Roman" w:hAnsi="Garamond"/>
          <w:sz w:val="24"/>
          <w:szCs w:val="24"/>
        </w:rPr>
        <w:t xml:space="preserve">wildfire mitigation measures like grid hardening and vegetation management should be designed to prioritize the quick re-energization of lines once it is safe to end a PSPS event.  </w:t>
      </w:r>
    </w:p>
    <w:p w14:paraId="10F0FAED" w14:textId="77777777" w:rsidR="00281061" w:rsidRPr="00D27CF3" w:rsidRDefault="00281061" w:rsidP="00C115EF"/>
    <w:p w14:paraId="55DEFDB9" w14:textId="5C1B4A52" w:rsidR="00306973" w:rsidRPr="00D27CF3" w:rsidRDefault="00B80271" w:rsidP="00C115EF">
      <w:pPr>
        <w:rPr>
          <w:rFonts w:ascii="Century Gothic" w:eastAsia="Times New Roman" w:hAnsi="Century Gothic"/>
        </w:rPr>
      </w:pPr>
      <w:r w:rsidRPr="00D27CF3">
        <w:rPr>
          <w:rFonts w:ascii="Century Gothic" w:eastAsia="Times New Roman" w:hAnsi="Century Gothic"/>
        </w:rPr>
        <w:t>Observations</w:t>
      </w:r>
      <w:r w:rsidR="00306973" w:rsidRPr="00D27CF3">
        <w:rPr>
          <w:rFonts w:ascii="Century Gothic" w:eastAsia="Times New Roman" w:hAnsi="Century Gothic"/>
        </w:rPr>
        <w:t>:</w:t>
      </w:r>
    </w:p>
    <w:p w14:paraId="66B88A48" w14:textId="78567582" w:rsidR="00306973" w:rsidRPr="00B23803" w:rsidRDefault="00306973" w:rsidP="00C115EF">
      <w:pPr>
        <w:pStyle w:val="ListParagraph"/>
        <w:numPr>
          <w:ilvl w:val="0"/>
          <w:numId w:val="12"/>
        </w:numPr>
        <w:contextualSpacing w:val="0"/>
        <w:rPr>
          <w:sz w:val="24"/>
          <w:szCs w:val="24"/>
        </w:rPr>
      </w:pPr>
      <w:r w:rsidRPr="00D27CF3">
        <w:rPr>
          <w:rFonts w:ascii="Garamond" w:eastAsia="Times New Roman" w:hAnsi="Garamond"/>
          <w:sz w:val="24"/>
          <w:szCs w:val="24"/>
        </w:rPr>
        <w:t>PG&amp;E’s WMP sets a 2020 goal of restoring power for 98 percent of customers within 12 daylight hours from the time that weather conditions clear.  PG&amp;E set a 2019 goal of restoring power 24 daylight hours after weather conditions have cleared</w:t>
      </w:r>
      <w:r w:rsidR="00BE4C3B" w:rsidRPr="00D27CF3">
        <w:rPr>
          <w:rFonts w:ascii="Garamond" w:eastAsia="Times New Roman" w:hAnsi="Garamond"/>
          <w:sz w:val="24"/>
          <w:szCs w:val="24"/>
        </w:rPr>
        <w:t>.</w:t>
      </w:r>
      <w:r w:rsidRPr="00D27CF3">
        <w:rPr>
          <w:rStyle w:val="FootnoteReference"/>
          <w:rFonts w:ascii="Garamond" w:eastAsia="Times New Roman" w:hAnsi="Garamond"/>
          <w:sz w:val="24"/>
          <w:szCs w:val="24"/>
        </w:rPr>
        <w:footnoteReference w:id="31"/>
      </w:r>
      <w:r w:rsidRPr="00D27CF3">
        <w:rPr>
          <w:rFonts w:ascii="Garamond" w:eastAsia="Times New Roman" w:hAnsi="Garamond"/>
          <w:sz w:val="24"/>
          <w:szCs w:val="24"/>
        </w:rPr>
        <w:t xml:space="preserve"> SCE and SDG&amp;E’s WMPs do not specify a timeline for restoring power.  SCE states in its WMP that power will be restored when it is safe to reenergize the circuits, with the order of re-energization determined by factors such as customer safety and wellbeing, affected essential services, damage to electrical and other infrastructure and circuit design and topology</w:t>
      </w:r>
      <w:r w:rsidR="00BE4C3B" w:rsidRPr="00D27CF3">
        <w:rPr>
          <w:rFonts w:ascii="Garamond" w:eastAsia="Times New Roman" w:hAnsi="Garamond"/>
          <w:sz w:val="24"/>
          <w:szCs w:val="24"/>
        </w:rPr>
        <w:t>.</w:t>
      </w:r>
      <w:r w:rsidRPr="00D27CF3">
        <w:rPr>
          <w:rStyle w:val="FootnoteReference"/>
          <w:rFonts w:ascii="Garamond" w:eastAsia="Times New Roman" w:hAnsi="Garamond"/>
          <w:sz w:val="24"/>
          <w:szCs w:val="24"/>
        </w:rPr>
        <w:footnoteReference w:id="32"/>
      </w:r>
      <w:r w:rsidRPr="00D27CF3">
        <w:rPr>
          <w:rFonts w:ascii="Garamond" w:eastAsia="Times New Roman" w:hAnsi="Garamond"/>
          <w:sz w:val="24"/>
          <w:szCs w:val="24"/>
        </w:rPr>
        <w:t xml:space="preserve"> SDG&amp;E’s states in its WMP that energy restoration will occur when weather forecasts indicate winds will not reaccelerate at or above dangerous levels, and after all de-energized lines have been inspected and determined safe</w:t>
      </w:r>
      <w:r w:rsidR="00BE4C3B" w:rsidRPr="00D27CF3">
        <w:rPr>
          <w:rFonts w:ascii="Garamond" w:eastAsia="Times New Roman" w:hAnsi="Garamond"/>
          <w:sz w:val="24"/>
          <w:szCs w:val="24"/>
        </w:rPr>
        <w:t>.</w:t>
      </w:r>
      <w:r w:rsidRPr="00D27CF3">
        <w:rPr>
          <w:rStyle w:val="FootnoteReference"/>
          <w:rFonts w:ascii="Garamond" w:eastAsia="Times New Roman" w:hAnsi="Garamond"/>
          <w:sz w:val="24"/>
          <w:szCs w:val="24"/>
        </w:rPr>
        <w:footnoteReference w:id="33"/>
      </w:r>
      <w:r w:rsidRPr="00D27CF3">
        <w:rPr>
          <w:rFonts w:ascii="Garamond" w:eastAsia="Times New Roman" w:hAnsi="Garamond"/>
          <w:sz w:val="24"/>
          <w:szCs w:val="24"/>
        </w:rPr>
        <w:t xml:space="preserve">  </w:t>
      </w:r>
    </w:p>
    <w:p w14:paraId="27E6EF05" w14:textId="056DC4DE" w:rsidR="00EB4B88" w:rsidRPr="009B62AA" w:rsidRDefault="00EB4B88" w:rsidP="00C115EF">
      <w:pPr>
        <w:pStyle w:val="ListParagraph"/>
        <w:numPr>
          <w:ilvl w:val="0"/>
          <w:numId w:val="12"/>
        </w:numPr>
        <w:contextualSpacing w:val="0"/>
        <w:rPr>
          <w:color w:val="FF0000"/>
          <w:sz w:val="24"/>
          <w:szCs w:val="24"/>
        </w:rPr>
      </w:pPr>
      <w:r w:rsidRPr="009B62AA">
        <w:rPr>
          <w:rFonts w:ascii="Garamond" w:eastAsia="Times New Roman" w:hAnsi="Garamond"/>
          <w:color w:val="FF0000"/>
          <w:sz w:val="24"/>
          <w:szCs w:val="24"/>
        </w:rPr>
        <w:t xml:space="preserve">As discussed throughout these recommendations, the global COVID-19 pandemic should </w:t>
      </w:r>
      <w:r w:rsidR="0081609C" w:rsidRPr="009B62AA">
        <w:rPr>
          <w:rFonts w:ascii="Garamond" w:eastAsia="Times New Roman" w:hAnsi="Garamond"/>
          <w:color w:val="FF0000"/>
          <w:sz w:val="24"/>
          <w:szCs w:val="24"/>
        </w:rPr>
        <w:t>expedite</w:t>
      </w:r>
      <w:r w:rsidRPr="009B62AA">
        <w:rPr>
          <w:rFonts w:ascii="Garamond" w:eastAsia="Times New Roman" w:hAnsi="Garamond"/>
          <w:color w:val="FF0000"/>
          <w:sz w:val="24"/>
          <w:szCs w:val="24"/>
        </w:rPr>
        <w:t xml:space="preserve"> the utilities’ priorities</w:t>
      </w:r>
      <w:r w:rsidR="007511CA" w:rsidRPr="009B62AA">
        <w:rPr>
          <w:rFonts w:ascii="Garamond" w:eastAsia="Times New Roman" w:hAnsi="Garamond"/>
          <w:color w:val="FF0000"/>
          <w:sz w:val="24"/>
          <w:szCs w:val="24"/>
        </w:rPr>
        <w:t xml:space="preserve"> </w:t>
      </w:r>
      <w:r w:rsidRPr="009B62AA">
        <w:rPr>
          <w:rFonts w:ascii="Garamond" w:eastAsia="Times New Roman" w:hAnsi="Garamond"/>
          <w:color w:val="FF0000"/>
          <w:sz w:val="24"/>
          <w:szCs w:val="24"/>
        </w:rPr>
        <w:t xml:space="preserve">to reduce the number of PSPS events, shorten PSPS event duration, and ensure that re-energization occurs more quickly.  </w:t>
      </w:r>
    </w:p>
    <w:p w14:paraId="509DD175" w14:textId="5079BE62" w:rsidR="00306973" w:rsidRPr="00D27CF3" w:rsidRDefault="00306973" w:rsidP="00C115EF">
      <w:pPr>
        <w:pStyle w:val="ListParagraph"/>
        <w:numPr>
          <w:ilvl w:val="0"/>
          <w:numId w:val="12"/>
        </w:numPr>
        <w:contextualSpacing w:val="0"/>
        <w:rPr>
          <w:sz w:val="24"/>
          <w:szCs w:val="24"/>
        </w:rPr>
      </w:pPr>
      <w:r w:rsidRPr="00D27CF3">
        <w:rPr>
          <w:rFonts w:ascii="Garamond" w:eastAsia="Times New Roman" w:hAnsi="Garamond"/>
          <w:sz w:val="24"/>
          <w:szCs w:val="24"/>
        </w:rPr>
        <w:t xml:space="preserve">The </w:t>
      </w:r>
      <w:r w:rsidR="00B85205" w:rsidRPr="00D27CF3">
        <w:rPr>
          <w:rFonts w:ascii="Garamond" w:eastAsia="Times New Roman" w:hAnsi="Garamond"/>
          <w:sz w:val="24"/>
          <w:szCs w:val="24"/>
        </w:rPr>
        <w:t>utilit</w:t>
      </w:r>
      <w:r w:rsidR="00B85205">
        <w:rPr>
          <w:rFonts w:ascii="Garamond" w:eastAsia="Times New Roman" w:hAnsi="Garamond"/>
          <w:sz w:val="24"/>
          <w:szCs w:val="24"/>
        </w:rPr>
        <w:t>ie</w:t>
      </w:r>
      <w:r w:rsidR="00B85205" w:rsidRPr="00D27CF3">
        <w:rPr>
          <w:rFonts w:ascii="Garamond" w:eastAsia="Times New Roman" w:hAnsi="Garamond"/>
          <w:sz w:val="24"/>
          <w:szCs w:val="24"/>
        </w:rPr>
        <w:t>s</w:t>
      </w:r>
      <w:r w:rsidR="00B85205">
        <w:rPr>
          <w:rFonts w:ascii="Garamond" w:eastAsia="Times New Roman" w:hAnsi="Garamond"/>
          <w:sz w:val="24"/>
          <w:szCs w:val="24"/>
        </w:rPr>
        <w:t>’</w:t>
      </w:r>
      <w:r w:rsidR="00B85205" w:rsidRPr="00D27CF3">
        <w:rPr>
          <w:rFonts w:ascii="Garamond" w:eastAsia="Times New Roman" w:hAnsi="Garamond"/>
          <w:sz w:val="24"/>
          <w:szCs w:val="24"/>
        </w:rPr>
        <w:t xml:space="preserve"> </w:t>
      </w:r>
      <w:r w:rsidRPr="00D27CF3">
        <w:rPr>
          <w:rFonts w:ascii="Garamond" w:eastAsia="Times New Roman" w:hAnsi="Garamond"/>
          <w:sz w:val="24"/>
          <w:szCs w:val="24"/>
        </w:rPr>
        <w:t>plans specify some grid design and system hardening measures they have taken or intend to take to prevent power line-started fires and to accelerate re-energization</w:t>
      </w:r>
      <w:r w:rsidR="00B332FD">
        <w:rPr>
          <w:rFonts w:ascii="Garamond" w:eastAsia="Times New Roman" w:hAnsi="Garamond"/>
          <w:sz w:val="24"/>
          <w:szCs w:val="24"/>
        </w:rPr>
        <w:t>:</w:t>
      </w:r>
    </w:p>
    <w:p w14:paraId="51796585" w14:textId="365BE4FD" w:rsidR="00306973" w:rsidRPr="00D27CF3" w:rsidRDefault="00306973" w:rsidP="00C115EF">
      <w:pPr>
        <w:pStyle w:val="ListParagraph"/>
        <w:numPr>
          <w:ilvl w:val="0"/>
          <w:numId w:val="37"/>
        </w:numPr>
        <w:ind w:left="900"/>
        <w:contextualSpacing w:val="0"/>
        <w:rPr>
          <w:sz w:val="24"/>
          <w:szCs w:val="24"/>
        </w:rPr>
      </w:pPr>
      <w:r w:rsidRPr="00D27CF3">
        <w:rPr>
          <w:rFonts w:ascii="Garamond" w:eastAsia="Times New Roman" w:hAnsi="Garamond"/>
          <w:sz w:val="24"/>
          <w:szCs w:val="24"/>
        </w:rPr>
        <w:t>PG&amp;E states in its WMP that it will use advanced meteorology tools to forecast wildfire risk conditions with more granularity as well as to apply improved analysis of which parts of the system face high risk</w:t>
      </w:r>
      <w:r w:rsidR="00BE4C3B" w:rsidRPr="00D27CF3">
        <w:rPr>
          <w:rFonts w:ascii="Garamond" w:eastAsia="Times New Roman" w:hAnsi="Garamond"/>
          <w:sz w:val="24"/>
          <w:szCs w:val="24"/>
        </w:rPr>
        <w:t>.</w:t>
      </w:r>
      <w:r w:rsidRPr="00D27CF3">
        <w:rPr>
          <w:rStyle w:val="FootnoteReference"/>
          <w:rFonts w:ascii="Garamond" w:eastAsia="Times New Roman" w:hAnsi="Garamond"/>
          <w:sz w:val="24"/>
          <w:szCs w:val="24"/>
        </w:rPr>
        <w:footnoteReference w:id="34"/>
      </w:r>
      <w:r w:rsidRPr="00D27CF3">
        <w:rPr>
          <w:rFonts w:ascii="Garamond" w:eastAsia="Times New Roman" w:hAnsi="Garamond"/>
          <w:sz w:val="24"/>
          <w:szCs w:val="24"/>
        </w:rPr>
        <w:t xml:space="preserve">  The plan also describes how utility will improve switching and sectionalization so that PSPS events affect smaller portions of the grid</w:t>
      </w:r>
      <w:r w:rsidR="00BE4C3B" w:rsidRPr="00D27CF3">
        <w:rPr>
          <w:rFonts w:ascii="Garamond" w:eastAsia="Times New Roman" w:hAnsi="Garamond"/>
          <w:sz w:val="24"/>
          <w:szCs w:val="24"/>
        </w:rPr>
        <w:t>.</w:t>
      </w:r>
    </w:p>
    <w:p w14:paraId="39388E5C" w14:textId="1B375227" w:rsidR="00306973" w:rsidRPr="00D27CF3" w:rsidRDefault="00306973" w:rsidP="00C115EF">
      <w:pPr>
        <w:pStyle w:val="ListParagraph"/>
        <w:numPr>
          <w:ilvl w:val="0"/>
          <w:numId w:val="37"/>
        </w:numPr>
        <w:ind w:left="900"/>
        <w:contextualSpacing w:val="0"/>
        <w:rPr>
          <w:rFonts w:ascii="Garamond" w:hAnsi="Garamond"/>
          <w:sz w:val="24"/>
          <w:szCs w:val="24"/>
        </w:rPr>
      </w:pPr>
      <w:r w:rsidRPr="00D27CF3">
        <w:rPr>
          <w:rFonts w:ascii="Garamond" w:eastAsia="Times New Roman" w:hAnsi="Garamond"/>
          <w:sz w:val="24"/>
          <w:szCs w:val="24"/>
        </w:rPr>
        <w:t xml:space="preserve">SCE states in its WMP that </w:t>
      </w:r>
      <w:r w:rsidRPr="00D27CF3">
        <w:rPr>
          <w:rFonts w:ascii="Garamond" w:hAnsi="Garamond"/>
          <w:sz w:val="24"/>
          <w:szCs w:val="24"/>
        </w:rPr>
        <w:t>it has improved the re-energization process by developing protocols specific to PSPS events</w:t>
      </w:r>
      <w:r w:rsidR="00935470">
        <w:rPr>
          <w:rFonts w:ascii="Garamond" w:hAnsi="Garamond"/>
          <w:sz w:val="24"/>
          <w:szCs w:val="24"/>
        </w:rPr>
        <w:t xml:space="preserve">.  </w:t>
      </w:r>
      <w:r w:rsidRPr="00D27CF3">
        <w:rPr>
          <w:rFonts w:ascii="Garamond" w:hAnsi="Garamond"/>
          <w:sz w:val="24"/>
          <w:szCs w:val="24"/>
        </w:rPr>
        <w:t>That includes notifying affected parties that a circuit is in the process of being restored, as well having the steps approved by management</w:t>
      </w:r>
      <w:r w:rsidR="00BE4C3B" w:rsidRPr="00D27CF3">
        <w:rPr>
          <w:rFonts w:ascii="Garamond" w:hAnsi="Garamond"/>
          <w:sz w:val="24"/>
          <w:szCs w:val="24"/>
        </w:rPr>
        <w:t>.</w:t>
      </w:r>
      <w:r w:rsidRPr="00D27CF3">
        <w:rPr>
          <w:rStyle w:val="FootnoteReference"/>
          <w:rFonts w:ascii="Garamond" w:hAnsi="Garamond"/>
          <w:sz w:val="24"/>
          <w:szCs w:val="24"/>
        </w:rPr>
        <w:footnoteReference w:id="35"/>
      </w:r>
      <w:r w:rsidRPr="00D27CF3">
        <w:rPr>
          <w:rFonts w:ascii="Garamond" w:hAnsi="Garamond"/>
          <w:sz w:val="24"/>
          <w:szCs w:val="24"/>
        </w:rPr>
        <w:t xml:space="preserve"> The protocols also include circuit-specific switching plans created prior to an event, which can save time in both de-energizing and re-energizing circuits</w:t>
      </w:r>
      <w:r w:rsidR="00935470">
        <w:rPr>
          <w:rFonts w:ascii="Garamond" w:hAnsi="Garamond"/>
          <w:sz w:val="24"/>
          <w:szCs w:val="24"/>
        </w:rPr>
        <w:t xml:space="preserve">.  </w:t>
      </w:r>
      <w:r w:rsidRPr="00D27CF3">
        <w:rPr>
          <w:rFonts w:ascii="Garamond" w:hAnsi="Garamond"/>
          <w:sz w:val="24"/>
          <w:szCs w:val="24"/>
        </w:rPr>
        <w:t>SCE states in its WMP that it will also explore new tools and technologies that can shorten electricity restoration times</w:t>
      </w:r>
      <w:r w:rsidR="00BE4C3B" w:rsidRPr="00D27CF3">
        <w:rPr>
          <w:rFonts w:ascii="Garamond" w:hAnsi="Garamond"/>
          <w:sz w:val="24"/>
          <w:szCs w:val="24"/>
        </w:rPr>
        <w:t>.</w:t>
      </w:r>
    </w:p>
    <w:p w14:paraId="7B340573" w14:textId="053CF023" w:rsidR="00EB4B88" w:rsidRDefault="00306973" w:rsidP="00EB4B88">
      <w:pPr>
        <w:pStyle w:val="ListParagraph"/>
        <w:numPr>
          <w:ilvl w:val="0"/>
          <w:numId w:val="37"/>
        </w:numPr>
        <w:spacing w:after="0"/>
        <w:ind w:left="900"/>
        <w:contextualSpacing w:val="0"/>
        <w:rPr>
          <w:rFonts w:ascii="Garamond" w:hAnsi="Garamond"/>
          <w:sz w:val="24"/>
          <w:szCs w:val="24"/>
        </w:rPr>
      </w:pPr>
      <w:r w:rsidRPr="00D27CF3">
        <w:rPr>
          <w:rFonts w:ascii="Garamond" w:eastAsia="Times New Roman" w:hAnsi="Garamond"/>
          <w:sz w:val="24"/>
          <w:szCs w:val="24"/>
        </w:rPr>
        <w:t xml:space="preserve">SDG&amp;E states in its WMP that </w:t>
      </w:r>
      <w:r w:rsidRPr="00D27CF3">
        <w:rPr>
          <w:rFonts w:ascii="Garamond" w:hAnsi="Garamond"/>
          <w:sz w:val="24"/>
          <w:szCs w:val="24"/>
        </w:rPr>
        <w:t>the utility has deployed several measures to shorten service restoration times such as: remote distribution sectionalizing devices that let the utility more efficiently manage system operations and reliability;</w:t>
      </w:r>
      <w:r w:rsidR="000B00C4" w:rsidRPr="000B00C4">
        <w:rPr>
          <w:rStyle w:val="FootnoteReference"/>
          <w:rFonts w:ascii="Garamond" w:hAnsi="Garamond"/>
          <w:sz w:val="24"/>
          <w:szCs w:val="24"/>
        </w:rPr>
        <w:t xml:space="preserve"> </w:t>
      </w:r>
      <w:r w:rsidR="000B00C4" w:rsidRPr="00D27CF3">
        <w:rPr>
          <w:rStyle w:val="FootnoteReference"/>
          <w:rFonts w:ascii="Garamond" w:hAnsi="Garamond"/>
          <w:sz w:val="24"/>
          <w:szCs w:val="24"/>
        </w:rPr>
        <w:footnoteReference w:id="36"/>
      </w:r>
      <w:r w:rsidRPr="00D27CF3">
        <w:rPr>
          <w:rFonts w:ascii="Garamond" w:hAnsi="Garamond"/>
          <w:sz w:val="24"/>
          <w:szCs w:val="24"/>
        </w:rPr>
        <w:t xml:space="preserve"> wireless fault indicators that can concentrate on a smaller portion of the electric circuit</w:t>
      </w:r>
      <w:r w:rsidRPr="00D27CF3">
        <w:rPr>
          <w:rStyle w:val="FootnoteReference"/>
          <w:rFonts w:ascii="Garamond" w:hAnsi="Garamond"/>
          <w:sz w:val="24"/>
          <w:szCs w:val="24"/>
        </w:rPr>
        <w:footnoteReference w:id="37"/>
      </w:r>
      <w:r w:rsidRPr="00D27CF3">
        <w:rPr>
          <w:rFonts w:ascii="Garamond" w:hAnsi="Garamond"/>
          <w:sz w:val="24"/>
          <w:szCs w:val="24"/>
        </w:rPr>
        <w:t>; steel utility poles;</w:t>
      </w:r>
      <w:r w:rsidR="000B00C4" w:rsidRPr="00D27CF3">
        <w:rPr>
          <w:rStyle w:val="FootnoteReference"/>
          <w:rFonts w:ascii="Garamond" w:hAnsi="Garamond"/>
          <w:sz w:val="24"/>
          <w:szCs w:val="24"/>
        </w:rPr>
        <w:footnoteReference w:id="38"/>
      </w:r>
      <w:r w:rsidRPr="00D27CF3">
        <w:rPr>
          <w:rFonts w:ascii="Garamond" w:hAnsi="Garamond"/>
          <w:sz w:val="24"/>
          <w:szCs w:val="24"/>
        </w:rPr>
        <w:t xml:space="preserve"> and overhead distribution reclosers</w:t>
      </w:r>
      <w:r w:rsidR="00F6493B" w:rsidRPr="00D27CF3">
        <w:rPr>
          <w:rFonts w:ascii="Garamond" w:hAnsi="Garamond"/>
          <w:sz w:val="24"/>
          <w:szCs w:val="24"/>
        </w:rPr>
        <w:t>.</w:t>
      </w:r>
      <w:r w:rsidRPr="00D27CF3">
        <w:rPr>
          <w:rStyle w:val="FootnoteReference"/>
          <w:rFonts w:ascii="Garamond" w:hAnsi="Garamond"/>
          <w:sz w:val="24"/>
          <w:szCs w:val="24"/>
        </w:rPr>
        <w:footnoteReference w:id="39"/>
      </w:r>
    </w:p>
    <w:p w14:paraId="0DD51202" w14:textId="77777777" w:rsidR="00EB4B88" w:rsidRPr="00B23803" w:rsidRDefault="00EB4B88" w:rsidP="00B23803">
      <w:pPr>
        <w:spacing w:after="0"/>
        <w:rPr>
          <w:rFonts w:ascii="Garamond" w:hAnsi="Garamond"/>
          <w:sz w:val="24"/>
          <w:szCs w:val="24"/>
        </w:rPr>
      </w:pPr>
    </w:p>
    <w:p w14:paraId="744382C3" w14:textId="77777777" w:rsidR="00306973" w:rsidRPr="00D27CF3" w:rsidRDefault="00306973" w:rsidP="00C115EF">
      <w:pPr>
        <w:rPr>
          <w:rFonts w:ascii="Century Gothic" w:eastAsia="Times New Roman" w:hAnsi="Century Gothic"/>
        </w:rPr>
      </w:pPr>
      <w:r w:rsidRPr="00D27CF3">
        <w:rPr>
          <w:rFonts w:ascii="Century Gothic" w:eastAsia="Times New Roman" w:hAnsi="Century Gothic"/>
        </w:rPr>
        <w:t xml:space="preserve">Wildfire Safety and Mitigation Performance Metrics: </w:t>
      </w:r>
    </w:p>
    <w:p w14:paraId="5CFC65C7" w14:textId="77777777" w:rsidR="00306973" w:rsidRPr="00D27CF3" w:rsidRDefault="00306973" w:rsidP="00C115EF">
      <w:pPr>
        <w:pStyle w:val="ListParagraph"/>
        <w:numPr>
          <w:ilvl w:val="0"/>
          <w:numId w:val="20"/>
        </w:numPr>
        <w:ind w:left="360"/>
        <w:contextualSpacing w:val="0"/>
        <w:rPr>
          <w:sz w:val="24"/>
          <w:szCs w:val="24"/>
        </w:rPr>
      </w:pPr>
      <w:r w:rsidRPr="00D27CF3">
        <w:rPr>
          <w:rFonts w:ascii="Garamond" w:eastAsia="Garamond" w:hAnsi="Garamond" w:cs="Garamond"/>
          <w:sz w:val="24"/>
          <w:szCs w:val="24"/>
        </w:rPr>
        <w:t>Track the time of re-energization per circuit after a determination that adverse weather conditions have ended.</w:t>
      </w:r>
    </w:p>
    <w:p w14:paraId="56A9124B" w14:textId="06A38A2E" w:rsidR="0090668F" w:rsidRPr="00D27CF3" w:rsidRDefault="00665106" w:rsidP="00C115EF">
      <w:pPr>
        <w:pStyle w:val="ListParagraph"/>
        <w:numPr>
          <w:ilvl w:val="0"/>
          <w:numId w:val="20"/>
        </w:numPr>
        <w:tabs>
          <w:tab w:val="left" w:pos="360"/>
        </w:tabs>
        <w:spacing w:line="256" w:lineRule="auto"/>
        <w:ind w:left="360"/>
        <w:contextualSpacing w:val="0"/>
        <w:rPr>
          <w:sz w:val="24"/>
          <w:szCs w:val="24"/>
        </w:rPr>
      </w:pPr>
      <w:r w:rsidRPr="00D27CF3">
        <w:rPr>
          <w:rFonts w:ascii="Garamond" w:eastAsia="Garamond" w:hAnsi="Garamond" w:cs="Garamond"/>
          <w:sz w:val="24"/>
          <w:szCs w:val="24"/>
        </w:rPr>
        <w:t xml:space="preserve">Conduct a </w:t>
      </w:r>
      <w:r w:rsidR="00126C68" w:rsidRPr="00D27CF3">
        <w:rPr>
          <w:rFonts w:ascii="Garamond" w:eastAsia="Garamond" w:hAnsi="Garamond" w:cs="Garamond"/>
          <w:sz w:val="24"/>
          <w:szCs w:val="24"/>
        </w:rPr>
        <w:t xml:space="preserve">postmortem on each circuit restoration as to the cause of any delay in restoration </w:t>
      </w:r>
      <w:r w:rsidR="00F93C88" w:rsidRPr="00D27CF3">
        <w:rPr>
          <w:rFonts w:ascii="Garamond" w:eastAsia="Garamond" w:hAnsi="Garamond" w:cs="Garamond"/>
          <w:sz w:val="24"/>
          <w:szCs w:val="24"/>
        </w:rPr>
        <w:t xml:space="preserve">to determine whether </w:t>
      </w:r>
      <w:r w:rsidR="00DA71B5" w:rsidRPr="00D27CF3">
        <w:rPr>
          <w:rFonts w:ascii="Garamond" w:eastAsia="Garamond" w:hAnsi="Garamond" w:cs="Garamond"/>
          <w:sz w:val="24"/>
          <w:szCs w:val="24"/>
        </w:rPr>
        <w:t xml:space="preserve">it </w:t>
      </w:r>
      <w:r w:rsidR="00126C68" w:rsidRPr="00D27CF3">
        <w:rPr>
          <w:rFonts w:ascii="Garamond" w:eastAsia="Garamond" w:hAnsi="Garamond" w:cs="Garamond"/>
          <w:sz w:val="24"/>
          <w:szCs w:val="24"/>
        </w:rPr>
        <w:t xml:space="preserve">was </w:t>
      </w:r>
      <w:r w:rsidR="00DA71B5" w:rsidRPr="00D27CF3">
        <w:rPr>
          <w:rFonts w:ascii="Garamond" w:eastAsia="Garamond" w:hAnsi="Garamond" w:cs="Garamond"/>
          <w:sz w:val="24"/>
          <w:szCs w:val="24"/>
        </w:rPr>
        <w:t>related to</w:t>
      </w:r>
      <w:r w:rsidR="004600A0" w:rsidRPr="00D27CF3">
        <w:rPr>
          <w:rFonts w:ascii="Garamond" w:eastAsia="Garamond" w:hAnsi="Garamond" w:cs="Garamond"/>
          <w:sz w:val="24"/>
          <w:szCs w:val="24"/>
        </w:rPr>
        <w:t xml:space="preserve"> limited</w:t>
      </w:r>
      <w:r w:rsidR="00DA71B5" w:rsidRPr="00D27CF3">
        <w:rPr>
          <w:rFonts w:ascii="Garamond" w:eastAsia="Garamond" w:hAnsi="Garamond" w:cs="Garamond"/>
          <w:sz w:val="24"/>
          <w:szCs w:val="24"/>
        </w:rPr>
        <w:t xml:space="preserve"> </w:t>
      </w:r>
      <w:r w:rsidR="00126C68" w:rsidRPr="00D27CF3">
        <w:rPr>
          <w:rFonts w:ascii="Garamond" w:eastAsia="Garamond" w:hAnsi="Garamond" w:cs="Garamond"/>
          <w:sz w:val="24"/>
          <w:szCs w:val="24"/>
        </w:rPr>
        <w:t>staff, equipment, an access problem</w:t>
      </w:r>
      <w:r w:rsidR="004600A0" w:rsidRPr="00D27CF3">
        <w:rPr>
          <w:rFonts w:ascii="Garamond" w:eastAsia="Garamond" w:hAnsi="Garamond" w:cs="Garamond"/>
          <w:sz w:val="24"/>
          <w:szCs w:val="24"/>
        </w:rPr>
        <w:t>, or other issue.</w:t>
      </w:r>
    </w:p>
    <w:p w14:paraId="17B633D2" w14:textId="77777777" w:rsidR="007B4D4D" w:rsidRPr="00D27CF3" w:rsidRDefault="007B4D4D" w:rsidP="00855C71">
      <w:pPr>
        <w:spacing w:line="256" w:lineRule="auto"/>
        <w:rPr>
          <w:sz w:val="24"/>
          <w:szCs w:val="24"/>
        </w:rPr>
      </w:pPr>
    </w:p>
    <w:p w14:paraId="28BABE9F" w14:textId="77777777" w:rsidR="007B4D4D" w:rsidRPr="00D27CF3" w:rsidRDefault="007B4D4D" w:rsidP="00855C71">
      <w:pPr>
        <w:spacing w:line="256" w:lineRule="auto"/>
        <w:rPr>
          <w:sz w:val="24"/>
          <w:szCs w:val="24"/>
        </w:rPr>
      </w:pPr>
    </w:p>
    <w:p w14:paraId="01D0C63A" w14:textId="77777777" w:rsidR="007B4D4D" w:rsidRPr="00D27CF3" w:rsidRDefault="007B4D4D" w:rsidP="00C115EF">
      <w:pPr>
        <w:spacing w:line="256" w:lineRule="auto"/>
        <w:rPr>
          <w:sz w:val="24"/>
          <w:szCs w:val="24"/>
        </w:rPr>
      </w:pPr>
    </w:p>
    <w:p w14:paraId="28F5966F" w14:textId="5EDD5E0B" w:rsidR="00306973" w:rsidRPr="00D27CF3" w:rsidRDefault="00306973" w:rsidP="00C115EF">
      <w:pPr>
        <w:rPr>
          <w:sz w:val="24"/>
          <w:szCs w:val="24"/>
        </w:rPr>
      </w:pPr>
    </w:p>
    <w:sectPr w:rsidR="00306973" w:rsidRPr="00D27CF3" w:rsidSect="001B0090">
      <w:footerReference w:type="default" r:id="rId24"/>
      <w:footerReference w:type="first" r:id="rId2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AFE5" w14:textId="77777777" w:rsidR="00E20D41" w:rsidRDefault="00E20D41">
      <w:pPr>
        <w:spacing w:after="0" w:line="240" w:lineRule="auto"/>
      </w:pPr>
      <w:r>
        <w:separator/>
      </w:r>
    </w:p>
  </w:endnote>
  <w:endnote w:type="continuationSeparator" w:id="0">
    <w:p w14:paraId="2FC283DB" w14:textId="77777777" w:rsidR="00E20D41" w:rsidRDefault="00E20D41">
      <w:pPr>
        <w:spacing w:after="0" w:line="240" w:lineRule="auto"/>
      </w:pPr>
      <w:r>
        <w:continuationSeparator/>
      </w:r>
    </w:p>
  </w:endnote>
  <w:endnote w:type="continuationNotice" w:id="1">
    <w:p w14:paraId="16157C4E" w14:textId="77777777" w:rsidR="00E20D41" w:rsidRDefault="00E20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097838"/>
      <w:docPartObj>
        <w:docPartGallery w:val="Page Numbers (Bottom of Page)"/>
        <w:docPartUnique/>
      </w:docPartObj>
    </w:sdtPr>
    <w:sdtEndPr>
      <w:rPr>
        <w:rFonts w:ascii="Garamond" w:hAnsi="Garamond"/>
        <w:noProof/>
        <w:sz w:val="24"/>
        <w:szCs w:val="24"/>
      </w:rPr>
    </w:sdtEndPr>
    <w:sdtContent>
      <w:p w14:paraId="51F1556C" w14:textId="7945F188" w:rsidR="009B62AA" w:rsidRPr="001B0090" w:rsidRDefault="00E20D41" w:rsidP="001B0090">
        <w:pPr>
          <w:pStyle w:val="Footer"/>
          <w:jc w:val="right"/>
          <w:rPr>
            <w:rFonts w:ascii="Garamond" w:hAnsi="Garamond"/>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4"/>
        <w:szCs w:val="24"/>
      </w:rPr>
      <w:id w:val="-1388646753"/>
      <w:docPartObj>
        <w:docPartGallery w:val="Page Numbers (Bottom of Page)"/>
        <w:docPartUnique/>
      </w:docPartObj>
    </w:sdtPr>
    <w:sdtEndPr>
      <w:rPr>
        <w:noProof/>
      </w:rPr>
    </w:sdtEndPr>
    <w:sdtContent>
      <w:p w14:paraId="6033B006" w14:textId="10A9BFCF" w:rsidR="009B62AA" w:rsidRPr="003C06DA" w:rsidRDefault="009B62AA" w:rsidP="00FA47C7">
        <w:pPr>
          <w:pStyle w:val="Footer"/>
          <w:jc w:val="right"/>
          <w:rPr>
            <w:rFonts w:ascii="Garamond" w:hAnsi="Garamond"/>
            <w:sz w:val="24"/>
            <w:szCs w:val="24"/>
          </w:rPr>
        </w:pPr>
        <w:r w:rsidRPr="005928EB">
          <w:rPr>
            <w:rFonts w:ascii="Garamond" w:hAnsi="Garamond"/>
            <w:b/>
            <w:bCs/>
            <w:color w:val="C00000"/>
            <w:sz w:val="24"/>
            <w:szCs w:val="24"/>
          </w:rPr>
          <w:t>DRAFT: 4/14/20 UPDATES TO ADDRESS COVID-19</w:t>
        </w:r>
        <w:r>
          <w:rPr>
            <w:rFonts w:ascii="Garamond" w:hAnsi="Garamond"/>
            <w:sz w:val="24"/>
            <w:szCs w:val="24"/>
          </w:rPr>
          <w:tab/>
        </w:r>
        <w:r w:rsidRPr="003C06DA">
          <w:rPr>
            <w:rFonts w:ascii="Garamond" w:hAnsi="Garamond"/>
            <w:sz w:val="24"/>
            <w:szCs w:val="24"/>
          </w:rPr>
          <w:fldChar w:fldCharType="begin"/>
        </w:r>
        <w:r w:rsidRPr="003C06DA">
          <w:rPr>
            <w:rFonts w:ascii="Garamond" w:hAnsi="Garamond"/>
            <w:sz w:val="24"/>
            <w:szCs w:val="24"/>
          </w:rPr>
          <w:instrText xml:space="preserve"> PAGE   \* MERGEFORMAT </w:instrText>
        </w:r>
        <w:r w:rsidRPr="003C06DA">
          <w:rPr>
            <w:rFonts w:ascii="Garamond" w:hAnsi="Garamond"/>
            <w:sz w:val="24"/>
            <w:szCs w:val="24"/>
          </w:rPr>
          <w:fldChar w:fldCharType="separate"/>
        </w:r>
        <w:r w:rsidRPr="003C06DA">
          <w:rPr>
            <w:rFonts w:ascii="Garamond" w:hAnsi="Garamond"/>
            <w:noProof/>
            <w:sz w:val="24"/>
            <w:szCs w:val="24"/>
          </w:rPr>
          <w:t>2</w:t>
        </w:r>
        <w:r w:rsidRPr="003C06DA">
          <w:rPr>
            <w:rFonts w:ascii="Garamond" w:hAnsi="Garamond"/>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B2ED" w14:textId="14F16CD8" w:rsidR="009B62AA" w:rsidRPr="00346C79" w:rsidRDefault="009B62AA" w:rsidP="00346C79">
    <w:pPr>
      <w:pStyle w:val="Footer"/>
    </w:pPr>
    <w:r w:rsidRPr="005928EB">
      <w:rPr>
        <w:rFonts w:ascii="Garamond" w:hAnsi="Garamond"/>
        <w:b/>
        <w:bCs/>
        <w:color w:val="C00000"/>
        <w:sz w:val="24"/>
        <w:szCs w:val="24"/>
      </w:rPr>
      <w:t>DRAFT: 4/14/20 UPDATES TO ADDRESS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F4942" w14:textId="77777777" w:rsidR="00E20D41" w:rsidRDefault="00E20D41">
      <w:pPr>
        <w:spacing w:after="0" w:line="240" w:lineRule="auto"/>
      </w:pPr>
      <w:r>
        <w:separator/>
      </w:r>
    </w:p>
  </w:footnote>
  <w:footnote w:type="continuationSeparator" w:id="0">
    <w:p w14:paraId="4EDB75A7" w14:textId="77777777" w:rsidR="00E20D41" w:rsidRDefault="00E20D41">
      <w:pPr>
        <w:spacing w:after="0" w:line="240" w:lineRule="auto"/>
      </w:pPr>
      <w:r>
        <w:continuationSeparator/>
      </w:r>
    </w:p>
  </w:footnote>
  <w:footnote w:type="continuationNotice" w:id="1">
    <w:p w14:paraId="51A48BF8" w14:textId="77777777" w:rsidR="00E20D41" w:rsidRDefault="00E20D41">
      <w:pPr>
        <w:spacing w:after="0" w:line="240" w:lineRule="auto"/>
      </w:pPr>
    </w:p>
  </w:footnote>
  <w:footnote w:id="2">
    <w:p w14:paraId="6416F80D" w14:textId="5A1D998F" w:rsidR="009B62AA" w:rsidRPr="001B0090" w:rsidRDefault="009B62AA" w:rsidP="00253AD6">
      <w:pPr>
        <w:pStyle w:val="FootnoteText"/>
        <w:spacing w:after="120"/>
        <w:rPr>
          <w:rFonts w:ascii="Century Gothic" w:hAnsi="Century Gothic"/>
          <w:sz w:val="19"/>
          <w:szCs w:val="19"/>
        </w:rPr>
      </w:pPr>
      <w:r w:rsidRPr="002A4CF7">
        <w:rPr>
          <w:rStyle w:val="FootnoteReference"/>
          <w:rFonts w:ascii="Century Gothic" w:hAnsi="Century Gothic"/>
          <w:sz w:val="19"/>
          <w:szCs w:val="19"/>
        </w:rPr>
        <w:footnoteRef/>
      </w:r>
      <w:r w:rsidRPr="002A4CF7">
        <w:rPr>
          <w:rFonts w:ascii="Century Gothic" w:hAnsi="Century Gothic"/>
          <w:sz w:val="19"/>
          <w:szCs w:val="19"/>
        </w:rPr>
        <w:t xml:space="preserve"> Although the Board did not focus on Liberty, Bear Valley, and </w:t>
      </w:r>
      <w:r w:rsidRPr="001B0090">
        <w:rPr>
          <w:rFonts w:ascii="Century Gothic" w:hAnsi="Century Gothic"/>
          <w:sz w:val="19"/>
          <w:szCs w:val="19"/>
        </w:rPr>
        <w:t>PacifiCorp during this round of review, the universal recommendations apply.</w:t>
      </w:r>
      <w:r w:rsidR="00253AD6">
        <w:rPr>
          <w:rFonts w:ascii="Century Gothic" w:hAnsi="Century Gothic"/>
          <w:sz w:val="19"/>
          <w:szCs w:val="19"/>
        </w:rPr>
        <w:t xml:space="preserve">  </w:t>
      </w:r>
    </w:p>
  </w:footnote>
  <w:footnote w:id="3">
    <w:p w14:paraId="4333345A" w14:textId="01743AA4" w:rsidR="009B62AA" w:rsidRPr="009B62AA" w:rsidRDefault="009B62AA" w:rsidP="002F6634">
      <w:pPr>
        <w:pStyle w:val="FootnoteText"/>
        <w:spacing w:line="360" w:lineRule="auto"/>
        <w:rPr>
          <w:rFonts w:ascii="Century Gothic" w:hAnsi="Century Gothic"/>
          <w:color w:val="FF0000"/>
          <w:sz w:val="19"/>
          <w:szCs w:val="19"/>
        </w:rPr>
      </w:pPr>
      <w:r w:rsidRPr="009B62AA">
        <w:rPr>
          <w:rStyle w:val="FootnoteReference"/>
          <w:rFonts w:ascii="Century Gothic" w:hAnsi="Century Gothic"/>
          <w:color w:val="FF0000"/>
          <w:sz w:val="19"/>
          <w:szCs w:val="19"/>
        </w:rPr>
        <w:footnoteRef/>
      </w:r>
      <w:r w:rsidRPr="009B62AA">
        <w:rPr>
          <w:rFonts w:ascii="Century Gothic" w:hAnsi="Century Gothic"/>
          <w:color w:val="FF0000"/>
          <w:sz w:val="19"/>
          <w:szCs w:val="19"/>
        </w:rPr>
        <w:t xml:space="preserve"> </w:t>
      </w:r>
      <w:r w:rsidRPr="009B62AA">
        <w:rPr>
          <w:rFonts w:ascii="Century Gothic" w:hAnsi="Century Gothic"/>
          <w:i/>
          <w:iCs/>
          <w:color w:val="FF0000"/>
          <w:sz w:val="19"/>
          <w:szCs w:val="19"/>
        </w:rPr>
        <w:t>See</w:t>
      </w:r>
      <w:r w:rsidRPr="009B62AA">
        <w:rPr>
          <w:rFonts w:ascii="Century Gothic" w:hAnsi="Century Gothic"/>
          <w:color w:val="FF0000"/>
          <w:sz w:val="19"/>
          <w:szCs w:val="19"/>
        </w:rPr>
        <w:t xml:space="preserve"> Recommendation 2 </w:t>
      </w:r>
    </w:p>
  </w:footnote>
  <w:footnote w:id="4">
    <w:p w14:paraId="544FF5E8" w14:textId="49C4FE49" w:rsidR="009B62AA" w:rsidRPr="009B62AA" w:rsidRDefault="009B62AA" w:rsidP="002F6634">
      <w:pPr>
        <w:pStyle w:val="FootnoteText"/>
        <w:spacing w:line="360" w:lineRule="auto"/>
        <w:rPr>
          <w:rFonts w:ascii="Century Gothic" w:hAnsi="Century Gothic"/>
          <w:sz w:val="19"/>
          <w:szCs w:val="19"/>
        </w:rPr>
      </w:pPr>
      <w:r w:rsidRPr="009B62AA">
        <w:rPr>
          <w:rStyle w:val="FootnoteReference"/>
          <w:rFonts w:ascii="Century Gothic" w:hAnsi="Century Gothic"/>
          <w:color w:val="FF0000"/>
          <w:sz w:val="19"/>
          <w:szCs w:val="19"/>
        </w:rPr>
        <w:footnoteRef/>
      </w:r>
      <w:r w:rsidRPr="009B62AA">
        <w:rPr>
          <w:rFonts w:ascii="Century Gothic" w:hAnsi="Century Gothic"/>
          <w:color w:val="FF0000"/>
          <w:sz w:val="19"/>
          <w:szCs w:val="19"/>
        </w:rPr>
        <w:t xml:space="preserve"> </w:t>
      </w:r>
      <w:r w:rsidRPr="009B62AA">
        <w:rPr>
          <w:rFonts w:ascii="Century Gothic" w:hAnsi="Century Gothic"/>
          <w:i/>
          <w:iCs/>
          <w:color w:val="FF0000"/>
          <w:sz w:val="19"/>
          <w:szCs w:val="19"/>
        </w:rPr>
        <w:t xml:space="preserve">See </w:t>
      </w:r>
      <w:r w:rsidRPr="009B62AA">
        <w:rPr>
          <w:rFonts w:ascii="Century Gothic" w:hAnsi="Century Gothic"/>
          <w:color w:val="FF0000"/>
          <w:sz w:val="19"/>
          <w:szCs w:val="19"/>
        </w:rPr>
        <w:t>Recommendation 7</w:t>
      </w:r>
    </w:p>
  </w:footnote>
  <w:footnote w:id="5">
    <w:p w14:paraId="2309FA1F" w14:textId="65B5E078" w:rsidR="009B62AA" w:rsidRPr="009B62AA" w:rsidRDefault="009B62AA" w:rsidP="002F6634">
      <w:pPr>
        <w:pStyle w:val="FootnoteText"/>
        <w:spacing w:line="360" w:lineRule="auto"/>
        <w:rPr>
          <w:rFonts w:ascii="Century Gothic" w:hAnsi="Century Gothic"/>
          <w:color w:val="FF0000"/>
          <w:sz w:val="19"/>
          <w:szCs w:val="19"/>
        </w:rPr>
      </w:pPr>
      <w:r w:rsidRPr="009B62AA">
        <w:rPr>
          <w:rStyle w:val="FootnoteReference"/>
          <w:rFonts w:ascii="Century Gothic" w:hAnsi="Century Gothic"/>
          <w:color w:val="FF0000"/>
          <w:sz w:val="19"/>
          <w:szCs w:val="19"/>
        </w:rPr>
        <w:footnoteRef/>
      </w:r>
      <w:r w:rsidRPr="009B62AA">
        <w:rPr>
          <w:rFonts w:ascii="Century Gothic" w:hAnsi="Century Gothic"/>
          <w:color w:val="FF0000"/>
          <w:sz w:val="19"/>
          <w:szCs w:val="19"/>
        </w:rPr>
        <w:t xml:space="preserve"> </w:t>
      </w:r>
      <w:r w:rsidRPr="009B62AA">
        <w:rPr>
          <w:rFonts w:ascii="Century Gothic" w:hAnsi="Century Gothic"/>
          <w:i/>
          <w:iCs/>
          <w:color w:val="FF0000"/>
          <w:sz w:val="19"/>
          <w:szCs w:val="19"/>
        </w:rPr>
        <w:t xml:space="preserve">See </w:t>
      </w:r>
      <w:r w:rsidRPr="009B62AA">
        <w:rPr>
          <w:rFonts w:ascii="Century Gothic" w:hAnsi="Century Gothic"/>
          <w:color w:val="FF0000"/>
          <w:sz w:val="19"/>
          <w:szCs w:val="19"/>
        </w:rPr>
        <w:t>Recommendation</w:t>
      </w:r>
      <w:r>
        <w:rPr>
          <w:rFonts w:ascii="Century Gothic" w:hAnsi="Century Gothic"/>
          <w:color w:val="FF0000"/>
          <w:sz w:val="19"/>
          <w:szCs w:val="19"/>
        </w:rPr>
        <w:t>s</w:t>
      </w:r>
      <w:r w:rsidRPr="009B62AA">
        <w:rPr>
          <w:rFonts w:ascii="Century Gothic" w:hAnsi="Century Gothic"/>
          <w:color w:val="FF0000"/>
          <w:sz w:val="19"/>
          <w:szCs w:val="19"/>
        </w:rPr>
        <w:t xml:space="preserve"> 8, 9, 10, 11</w:t>
      </w:r>
    </w:p>
  </w:footnote>
  <w:footnote w:id="6">
    <w:p w14:paraId="06633F09" w14:textId="50A05F0B" w:rsidR="009B62AA" w:rsidRPr="009B62AA" w:rsidRDefault="009B62AA" w:rsidP="002F6634">
      <w:pPr>
        <w:pStyle w:val="FootnoteText"/>
        <w:spacing w:after="120" w:line="360" w:lineRule="auto"/>
        <w:rPr>
          <w:rFonts w:ascii="Century Gothic" w:hAnsi="Century Gothic"/>
          <w:sz w:val="19"/>
          <w:szCs w:val="19"/>
        </w:rPr>
      </w:pPr>
      <w:r w:rsidRPr="009B62AA">
        <w:rPr>
          <w:rStyle w:val="FootnoteReference"/>
          <w:rFonts w:ascii="Century Gothic" w:hAnsi="Century Gothic"/>
          <w:sz w:val="19"/>
          <w:szCs w:val="19"/>
        </w:rPr>
        <w:footnoteRef/>
      </w:r>
      <w:r w:rsidRPr="009B62AA">
        <w:rPr>
          <w:rFonts w:ascii="Century Gothic" w:hAnsi="Century Gothic"/>
          <w:sz w:val="19"/>
          <w:szCs w:val="19"/>
        </w:rPr>
        <w:t xml:space="preserve"> Stats. 2018, Ch. 626 (Dodd). </w:t>
      </w:r>
    </w:p>
  </w:footnote>
  <w:footnote w:id="7">
    <w:p w14:paraId="79D5A7EB" w14:textId="77777777" w:rsidR="009B62AA" w:rsidRPr="001B0090" w:rsidRDefault="009B62AA" w:rsidP="00C0031D">
      <w:pPr>
        <w:pStyle w:val="FootnoteText"/>
        <w:spacing w:after="120"/>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Stats. 2019, Ch. 79 (Holden). </w:t>
      </w:r>
    </w:p>
  </w:footnote>
  <w:footnote w:id="8">
    <w:p w14:paraId="1497E8A5" w14:textId="77777777" w:rsidR="009B62AA" w:rsidRPr="001B0090" w:rsidRDefault="009B62AA" w:rsidP="00C0031D">
      <w:pPr>
        <w:pStyle w:val="FootnoteText"/>
        <w:spacing w:after="120"/>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Stats. 2019, Ch. 81 (Committee on Budget). </w:t>
      </w:r>
    </w:p>
  </w:footnote>
  <w:footnote w:id="9">
    <w:p w14:paraId="005CABA6" w14:textId="52F6992C" w:rsidR="009B62AA" w:rsidRPr="001B0090" w:rsidRDefault="009B62AA" w:rsidP="00C115EF">
      <w:pPr>
        <w:autoSpaceDE w:val="0"/>
        <w:autoSpaceDN w:val="0"/>
        <w:adjustRightInd w:val="0"/>
        <w:spacing w:after="120" w:line="276" w:lineRule="auto"/>
        <w:rPr>
          <w:rFonts w:ascii="Century Gothic" w:hAnsi="Century Gothic" w:cs="Calibri"/>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1B0090">
        <w:rPr>
          <w:rFonts w:ascii="Century Gothic" w:hAnsi="Century Gothic" w:cs="Calibri"/>
          <w:sz w:val="19"/>
          <w:szCs w:val="19"/>
        </w:rPr>
        <w:t xml:space="preserve">The Utility Wildfire Mitigation Maturity Model is a method to assess utility wildfire risk reduction capabilities and examine the relative maturity of the wildfire mitigation programs.” The applicable maturity model categories are identified in the header of each of the Boards recommendations. </w:t>
      </w:r>
      <w:r w:rsidRPr="001B0090">
        <w:rPr>
          <w:rFonts w:ascii="Century Gothic" w:eastAsia="Times New Roman" w:hAnsi="Century Gothic"/>
          <w:color w:val="000000"/>
          <w:sz w:val="19"/>
          <w:szCs w:val="19"/>
        </w:rPr>
        <w:t xml:space="preserve"> </w:t>
      </w:r>
      <w:r w:rsidRPr="001B0090">
        <w:rPr>
          <w:rFonts w:ascii="Century Gothic" w:hAnsi="Century Gothic" w:cs="Calibri"/>
          <w:i/>
          <w:iCs/>
          <w:sz w:val="19"/>
          <w:szCs w:val="19"/>
        </w:rPr>
        <w:t>The Utility Wildfire Mitigation Maturity Model</w:t>
      </w:r>
      <w:r w:rsidRPr="001B0090">
        <w:rPr>
          <w:rFonts w:ascii="Century Gothic" w:hAnsi="Century Gothic"/>
          <w:i/>
          <w:sz w:val="19"/>
          <w:szCs w:val="19"/>
        </w:rPr>
        <w:t xml:space="preserve">, </w:t>
      </w:r>
      <w:r w:rsidRPr="001B0090">
        <w:rPr>
          <w:rFonts w:ascii="Century Gothic" w:hAnsi="Century Gothic"/>
          <w:sz w:val="19"/>
          <w:szCs w:val="19"/>
        </w:rPr>
        <w:t>Attachment 2 to Administrative Law Judge Thomas’</w:t>
      </w:r>
      <w:r w:rsidRPr="001B0090">
        <w:rPr>
          <w:rFonts w:ascii="Century Gothic" w:hAnsi="Century Gothic"/>
          <w:i/>
          <w:sz w:val="19"/>
          <w:szCs w:val="19"/>
        </w:rPr>
        <w:t xml:space="preserve"> </w:t>
      </w:r>
      <w:r w:rsidRPr="001B0090">
        <w:rPr>
          <w:rFonts w:ascii="Century Gothic" w:hAnsi="Century Gothic"/>
          <w:sz w:val="19"/>
          <w:szCs w:val="19"/>
        </w:rPr>
        <w:t>December 16, 2019 Ruling in Rulemaking 18-10-007 at 2</w:t>
      </w:r>
      <w:r w:rsidRPr="001B0090">
        <w:rPr>
          <w:rFonts w:ascii="Century Gothic" w:hAnsi="Century Gothic" w:cs="Calibri"/>
          <w:sz w:val="19"/>
          <w:szCs w:val="19"/>
        </w:rPr>
        <w:t xml:space="preserve">, available at: </w:t>
      </w:r>
      <w:hyperlink r:id="rId1" w:history="1">
        <w:r w:rsidRPr="001B0090">
          <w:rPr>
            <w:rStyle w:val="Hyperlink"/>
            <w:rFonts w:ascii="Century Gothic" w:hAnsi="Century Gothic" w:cs="Calibri"/>
            <w:sz w:val="19"/>
            <w:szCs w:val="19"/>
          </w:rPr>
          <w:t>http://docs.cpuc.ca.gov/PublishedDocs/Efile/G000/M322/K150/322150488.PDF</w:t>
        </w:r>
      </w:hyperlink>
      <w:r w:rsidRPr="001B0090">
        <w:rPr>
          <w:rFonts w:ascii="Century Gothic" w:hAnsi="Century Gothic" w:cs="Calibri"/>
          <w:sz w:val="19"/>
          <w:szCs w:val="19"/>
        </w:rPr>
        <w:t xml:space="preserve">. </w:t>
      </w:r>
    </w:p>
  </w:footnote>
  <w:footnote w:id="10">
    <w:p w14:paraId="6EDB7461" w14:textId="67133718" w:rsidR="009B62AA" w:rsidRPr="001B0090" w:rsidRDefault="009B62AA" w:rsidP="00C115EF">
      <w:pPr>
        <w:pStyle w:val="FootnoteText"/>
        <w:spacing w:after="120"/>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BC2115">
        <w:rPr>
          <w:rFonts w:ascii="Century Gothic" w:hAnsi="Century Gothic"/>
          <w:iCs/>
          <w:sz w:val="19"/>
          <w:szCs w:val="19"/>
        </w:rPr>
        <w:t>2020 WMP Guidelines</w:t>
      </w:r>
      <w:r w:rsidRPr="001B0090">
        <w:rPr>
          <w:rFonts w:ascii="Century Gothic" w:hAnsi="Century Gothic"/>
          <w:i/>
          <w:sz w:val="19"/>
          <w:szCs w:val="19"/>
        </w:rPr>
        <w:t xml:space="preserve">, </w:t>
      </w:r>
      <w:r w:rsidRPr="001B0090">
        <w:rPr>
          <w:rFonts w:ascii="Century Gothic" w:hAnsi="Century Gothic"/>
          <w:sz w:val="19"/>
          <w:szCs w:val="19"/>
        </w:rPr>
        <w:t>Attachment 1 to Administrative Law Judge Thomas’</w:t>
      </w:r>
      <w:r w:rsidRPr="001B0090">
        <w:rPr>
          <w:rFonts w:ascii="Century Gothic" w:hAnsi="Century Gothic"/>
          <w:i/>
          <w:sz w:val="19"/>
          <w:szCs w:val="19"/>
        </w:rPr>
        <w:t xml:space="preserve"> </w:t>
      </w:r>
      <w:r w:rsidRPr="001B0090">
        <w:rPr>
          <w:rFonts w:ascii="Century Gothic" w:hAnsi="Century Gothic"/>
          <w:sz w:val="19"/>
          <w:szCs w:val="19"/>
        </w:rPr>
        <w:t xml:space="preserve">December 16, 2019 Ruling in Rulemaking 18-10-007 at 69-73, available at: </w:t>
      </w:r>
      <w:hyperlink r:id="rId2" w:history="1">
        <w:r w:rsidRPr="001B0090">
          <w:rPr>
            <w:rStyle w:val="Hyperlink"/>
            <w:rFonts w:ascii="Century Gothic" w:hAnsi="Century Gothic"/>
            <w:sz w:val="19"/>
            <w:szCs w:val="19"/>
          </w:rPr>
          <w:t>http://docs.cpuc.ca.gov/PublishedDocs/Efile/G000/M322/K133/322133494.PDF</w:t>
        </w:r>
      </w:hyperlink>
      <w:r w:rsidRPr="001B0090">
        <w:rPr>
          <w:rFonts w:ascii="Century Gothic" w:hAnsi="Century Gothic"/>
          <w:sz w:val="19"/>
          <w:szCs w:val="19"/>
        </w:rPr>
        <w:t>.</w:t>
      </w:r>
    </w:p>
  </w:footnote>
  <w:footnote w:id="11">
    <w:p w14:paraId="6DB6DEA8" w14:textId="1D6C67CB" w:rsidR="009B62AA" w:rsidRPr="001B0090" w:rsidRDefault="009B62AA" w:rsidP="00C115EF">
      <w:pPr>
        <w:pStyle w:val="FootnoteText"/>
        <w:spacing w:after="120"/>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Other CPUC proceedings may be touching upon this critical issue as well.</w:t>
      </w:r>
    </w:p>
  </w:footnote>
  <w:footnote w:id="12">
    <w:p w14:paraId="7F6EF166" w14:textId="67358801" w:rsidR="009B62AA" w:rsidRPr="001B0090" w:rsidRDefault="009B62AA" w:rsidP="00C115EF">
      <w:pPr>
        <w:spacing w:after="120" w:line="276" w:lineRule="auto"/>
        <w:rPr>
          <w:rFonts w:ascii="Century Gothic" w:eastAsia="Times New Roman" w:hAnsi="Century Gothic"/>
          <w:color w:val="000000"/>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1B0090">
        <w:rPr>
          <w:rFonts w:ascii="Century Gothic" w:eastAsia="Times New Roman" w:hAnsi="Century Gothic"/>
          <w:color w:val="000000"/>
          <w:sz w:val="19"/>
          <w:szCs w:val="19"/>
        </w:rPr>
        <w:t xml:space="preserve">The maturity model questionnaires demonstrate that there are disparities in the utilities’ views on the status of these programs.  </w:t>
      </w:r>
      <w:r w:rsidRPr="001B0090">
        <w:rPr>
          <w:rFonts w:ascii="Century Gothic" w:hAnsi="Century Gothic"/>
          <w:sz w:val="19"/>
          <w:szCs w:val="19"/>
        </w:rPr>
        <w:t>PG&amp;E 2020 Wildfire Mitigation Plan Report (PG&amp;E 2020 WMP</w:t>
      </w:r>
      <w:proofErr w:type="gramStart"/>
      <w:r w:rsidRPr="001B0090">
        <w:rPr>
          <w:rFonts w:ascii="Century Gothic" w:hAnsi="Century Gothic"/>
          <w:sz w:val="19"/>
          <w:szCs w:val="19"/>
        </w:rPr>
        <w:t>),</w:t>
      </w:r>
      <w:r>
        <w:rPr>
          <w:rFonts w:ascii="Century Gothic" w:hAnsi="Century Gothic"/>
          <w:sz w:val="19"/>
          <w:szCs w:val="19"/>
        </w:rPr>
        <w:t xml:space="preserve"> </w:t>
      </w:r>
      <w:r w:rsidRPr="001B0090">
        <w:rPr>
          <w:rFonts w:ascii="Century Gothic" w:hAnsi="Century Gothic"/>
          <w:sz w:val="19"/>
          <w:szCs w:val="19"/>
        </w:rPr>
        <w:t xml:space="preserve"> </w:t>
      </w:r>
      <w:r w:rsidRPr="001B0090">
        <w:rPr>
          <w:rFonts w:ascii="Century Gothic" w:eastAsia="Times New Roman" w:hAnsi="Century Gothic"/>
          <w:color w:val="000000"/>
          <w:sz w:val="19"/>
          <w:szCs w:val="19"/>
        </w:rPr>
        <w:t>Section</w:t>
      </w:r>
      <w:proofErr w:type="gramEnd"/>
      <w:r w:rsidRPr="001B0090">
        <w:rPr>
          <w:rFonts w:ascii="Century Gothic" w:eastAsia="Times New Roman" w:hAnsi="Century Gothic"/>
          <w:color w:val="000000"/>
          <w:sz w:val="19"/>
          <w:szCs w:val="19"/>
        </w:rPr>
        <w:t xml:space="preserve"> 5.3.9. on emergency planning and preparedness</w:t>
      </w:r>
      <w:r>
        <w:rPr>
          <w:rFonts w:ascii="Century Gothic" w:eastAsia="Times New Roman" w:hAnsi="Century Gothic"/>
          <w:color w:val="000000"/>
          <w:sz w:val="19"/>
          <w:szCs w:val="19"/>
        </w:rPr>
        <w:t>,</w:t>
      </w:r>
      <w:r w:rsidRPr="001B0090">
        <w:rPr>
          <w:rFonts w:ascii="Century Gothic" w:eastAsia="Times New Roman" w:hAnsi="Century Gothic"/>
          <w:color w:val="000000"/>
          <w:sz w:val="19"/>
          <w:szCs w:val="19"/>
        </w:rPr>
        <w:t xml:space="preserve"> reveals that, in many instances, PG&amp;E did not have comprehensive plans for coordinating with stakeholders and states that “in the future, PG&amp;E plans on ….”   </w:t>
      </w:r>
    </w:p>
  </w:footnote>
  <w:footnote w:id="13">
    <w:p w14:paraId="33D3E081" w14:textId="77777777" w:rsidR="009B62AA" w:rsidRPr="001B0090" w:rsidRDefault="009B62AA" w:rsidP="00C115EF">
      <w:pPr>
        <w:pStyle w:val="FootnoteText"/>
        <w:spacing w:after="120"/>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For example, the track in CPUC Rulemaking 19-09-009 that is establishing criteria for rolling out microgrids.  </w:t>
      </w:r>
    </w:p>
  </w:footnote>
  <w:footnote w:id="14">
    <w:p w14:paraId="092A5967" w14:textId="4ED260A3" w:rsidR="009B62AA" w:rsidRPr="001B0090" w:rsidRDefault="009B62AA" w:rsidP="00C115EF">
      <w:pPr>
        <w:spacing w:after="120"/>
        <w:rPr>
          <w:rFonts w:ascii="Century Gothic" w:eastAsia="Times New Roman" w:hAnsi="Century Gothic"/>
          <w:color w:val="000000"/>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Branches, limbs, and overhanging vegetation must be trimmed to the recommended 12-foot radial clearance of utility infrastructure or distribution lines at the time of trim.</w:t>
      </w:r>
      <w:r w:rsidRPr="001B0090">
        <w:rPr>
          <w:rFonts w:ascii="Century Gothic" w:eastAsia="Times New Roman" w:hAnsi="Century Gothic"/>
          <w:color w:val="000000"/>
          <w:sz w:val="19"/>
          <w:szCs w:val="19"/>
        </w:rPr>
        <w:t xml:space="preserve">  </w:t>
      </w:r>
    </w:p>
  </w:footnote>
  <w:footnote w:id="15">
    <w:p w14:paraId="502744C9" w14:textId="77777777"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1B0090">
        <w:rPr>
          <w:rFonts w:ascii="Century Gothic" w:hAnsi="Century Gothic"/>
          <w:i/>
          <w:sz w:val="19"/>
          <w:szCs w:val="19"/>
        </w:rPr>
        <w:t xml:space="preserve">See </w:t>
      </w:r>
      <w:proofErr w:type="spellStart"/>
      <w:r w:rsidRPr="001B0090">
        <w:rPr>
          <w:rFonts w:ascii="Century Gothic" w:hAnsi="Century Gothic"/>
          <w:sz w:val="19"/>
          <w:szCs w:val="19"/>
        </w:rPr>
        <w:t>Schoennagel</w:t>
      </w:r>
      <w:proofErr w:type="spellEnd"/>
      <w:r w:rsidRPr="001B0090">
        <w:rPr>
          <w:rFonts w:ascii="Century Gothic" w:hAnsi="Century Gothic"/>
          <w:sz w:val="19"/>
          <w:szCs w:val="19"/>
        </w:rPr>
        <w:t xml:space="preserve">, Tania, Thomas T. Veblen, and William H. </w:t>
      </w:r>
      <w:proofErr w:type="spellStart"/>
      <w:r w:rsidRPr="001B0090">
        <w:rPr>
          <w:rFonts w:ascii="Century Gothic" w:hAnsi="Century Gothic"/>
          <w:sz w:val="19"/>
          <w:szCs w:val="19"/>
        </w:rPr>
        <w:t>Romme</w:t>
      </w:r>
      <w:proofErr w:type="spellEnd"/>
      <w:r w:rsidRPr="001B0090">
        <w:rPr>
          <w:rFonts w:ascii="Century Gothic" w:hAnsi="Century Gothic"/>
          <w:sz w:val="19"/>
          <w:szCs w:val="19"/>
        </w:rPr>
        <w:t xml:space="preserve">. "The interaction of fire, fuels, and climate across Rocky Mountain forests." </w:t>
      </w:r>
      <w:proofErr w:type="spellStart"/>
      <w:r w:rsidRPr="001B0090">
        <w:rPr>
          <w:rFonts w:ascii="Century Gothic" w:hAnsi="Century Gothic"/>
          <w:sz w:val="19"/>
          <w:szCs w:val="19"/>
        </w:rPr>
        <w:t>BioScience</w:t>
      </w:r>
      <w:proofErr w:type="spellEnd"/>
      <w:r w:rsidRPr="001B0090">
        <w:rPr>
          <w:rFonts w:ascii="Century Gothic" w:hAnsi="Century Gothic"/>
          <w:sz w:val="19"/>
          <w:szCs w:val="19"/>
        </w:rPr>
        <w:t xml:space="preserve"> 54.7 (2004): 661-676; Moritz, M.A., Keeley, J.E., Johnson, E.A. and Schaffner, A.A., 2004. Testing a basic assumption of shrubland fire management: how important is fuel age? Frontiers in Ecology and the Environment, 2(2), pp.67-72; and Price OF, Bradstock RA, Keeley JE, Syphard AD. The impact of antecedent fire area on burned area in southern California coastal ecosystems. Journal of environmental management. 2012 Dec </w:t>
      </w:r>
      <w:proofErr w:type="gramStart"/>
      <w:r w:rsidRPr="001B0090">
        <w:rPr>
          <w:rFonts w:ascii="Century Gothic" w:hAnsi="Century Gothic"/>
          <w:sz w:val="19"/>
          <w:szCs w:val="19"/>
        </w:rPr>
        <w:t>30;113:301</w:t>
      </w:r>
      <w:proofErr w:type="gramEnd"/>
      <w:r w:rsidRPr="001B0090">
        <w:rPr>
          <w:rFonts w:ascii="Century Gothic" w:hAnsi="Century Gothic"/>
          <w:sz w:val="19"/>
          <w:szCs w:val="19"/>
        </w:rPr>
        <w:t>-7.</w:t>
      </w:r>
    </w:p>
  </w:footnote>
  <w:footnote w:id="16">
    <w:p w14:paraId="0D86C224" w14:textId="77777777"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1B0090">
        <w:rPr>
          <w:rFonts w:ascii="Century Gothic" w:hAnsi="Century Gothic"/>
          <w:i/>
          <w:sz w:val="19"/>
          <w:szCs w:val="19"/>
        </w:rPr>
        <w:t>See</w:t>
      </w:r>
      <w:r w:rsidRPr="001B0090">
        <w:rPr>
          <w:rFonts w:ascii="Century Gothic" w:hAnsi="Century Gothic"/>
          <w:sz w:val="19"/>
          <w:szCs w:val="19"/>
        </w:rPr>
        <w:t xml:space="preserve"> Safford, H. D., &amp; Van de Water, K. M. (2014). Using fire return interval departure (FRID) analysis to map spatial and temporal changes in fire frequency on national forest lands in California. Res. Pap. PSW-RP-266. Albany, CA: US Department of Agriculture, Forest Service, Pacific Southwest Research Station. 59 p, 266.</w:t>
      </w:r>
    </w:p>
  </w:footnote>
  <w:footnote w:id="17">
    <w:p w14:paraId="6B89F978" w14:textId="77777777"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1B0090">
        <w:rPr>
          <w:rFonts w:ascii="Century Gothic" w:hAnsi="Century Gothic"/>
          <w:i/>
          <w:sz w:val="19"/>
          <w:szCs w:val="19"/>
        </w:rPr>
        <w:t>See</w:t>
      </w:r>
      <w:r w:rsidRPr="001B0090">
        <w:rPr>
          <w:rFonts w:ascii="Century Gothic" w:hAnsi="Century Gothic"/>
          <w:sz w:val="19"/>
          <w:szCs w:val="19"/>
        </w:rPr>
        <w:t xml:space="preserve"> </w:t>
      </w:r>
      <w:r w:rsidRPr="001B0090">
        <w:rPr>
          <w:rFonts w:ascii="Century Gothic" w:hAnsi="Century Gothic" w:cs="Arial"/>
          <w:color w:val="222222"/>
          <w:sz w:val="19"/>
          <w:szCs w:val="19"/>
          <w:shd w:val="clear" w:color="auto" w:fill="FFFFFF"/>
        </w:rPr>
        <w:t>Fusco, Emily J., et al. "Invasive grasses increase fire occurrence and frequency across US ecoregions." </w:t>
      </w:r>
      <w:r w:rsidRPr="001B0090">
        <w:rPr>
          <w:rFonts w:ascii="Century Gothic" w:hAnsi="Century Gothic" w:cs="Arial"/>
          <w:i/>
          <w:color w:val="222222"/>
          <w:sz w:val="19"/>
          <w:szCs w:val="19"/>
          <w:shd w:val="clear" w:color="auto" w:fill="FFFFFF"/>
        </w:rPr>
        <w:t>Proceedings of the National Academy of Sciences</w:t>
      </w:r>
      <w:r w:rsidRPr="001B0090">
        <w:rPr>
          <w:rFonts w:ascii="Century Gothic" w:hAnsi="Century Gothic" w:cs="Arial"/>
          <w:color w:val="222222"/>
          <w:sz w:val="19"/>
          <w:szCs w:val="19"/>
          <w:shd w:val="clear" w:color="auto" w:fill="FFFFFF"/>
        </w:rPr>
        <w:t> 116.47 (2019): 23594-23599.</w:t>
      </w:r>
    </w:p>
  </w:footnote>
  <w:footnote w:id="18">
    <w:p w14:paraId="27346928" w14:textId="77777777" w:rsidR="009B62AA" w:rsidRPr="001B0090" w:rsidRDefault="009B62AA" w:rsidP="00C115EF">
      <w:pPr>
        <w:pStyle w:val="Comment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1B0090">
        <w:rPr>
          <w:rFonts w:ascii="Century Gothic" w:hAnsi="Century Gothic"/>
          <w:i/>
          <w:sz w:val="19"/>
          <w:szCs w:val="19"/>
        </w:rPr>
        <w:t>See</w:t>
      </w:r>
      <w:r w:rsidRPr="001B0090">
        <w:rPr>
          <w:rFonts w:ascii="Century Gothic" w:hAnsi="Century Gothic"/>
          <w:sz w:val="19"/>
          <w:szCs w:val="19"/>
        </w:rPr>
        <w:t xml:space="preserve"> </w:t>
      </w:r>
      <w:r w:rsidRPr="001B0090">
        <w:rPr>
          <w:rFonts w:ascii="Century Gothic" w:hAnsi="Century Gothic" w:cs="Arial"/>
          <w:color w:val="222222"/>
          <w:sz w:val="19"/>
          <w:szCs w:val="19"/>
          <w:shd w:val="clear" w:color="auto" w:fill="FFFFFF"/>
        </w:rPr>
        <w:t>Syphard, Alexandra D., Teresa J. Brennan, and Jon E. Keeley. "Extent and drivers of vegetation type conversion in Southern California chaparral." </w:t>
      </w:r>
      <w:r w:rsidRPr="001B0090">
        <w:rPr>
          <w:rFonts w:ascii="Century Gothic" w:hAnsi="Century Gothic" w:cs="Arial"/>
          <w:i/>
          <w:color w:val="222222"/>
          <w:sz w:val="19"/>
          <w:szCs w:val="19"/>
          <w:shd w:val="clear" w:color="auto" w:fill="FFFFFF"/>
        </w:rPr>
        <w:t>Ecosphere</w:t>
      </w:r>
      <w:r w:rsidRPr="001B0090">
        <w:rPr>
          <w:rFonts w:ascii="Century Gothic" w:hAnsi="Century Gothic" w:cs="Arial"/>
          <w:color w:val="222222"/>
          <w:sz w:val="19"/>
          <w:szCs w:val="19"/>
          <w:shd w:val="clear" w:color="auto" w:fill="FFFFFF"/>
        </w:rPr>
        <w:t> 10.7 (2019): e02796; and Park, Isaac W., and G. Darrel Jenerette. "Causes and feedbacks to widespread grass invasion into chaparral shrub dominated landscapes." </w:t>
      </w:r>
      <w:r w:rsidRPr="001B0090">
        <w:rPr>
          <w:rFonts w:ascii="Century Gothic" w:hAnsi="Century Gothic" w:cs="Arial"/>
          <w:i/>
          <w:color w:val="222222"/>
          <w:sz w:val="19"/>
          <w:szCs w:val="19"/>
          <w:shd w:val="clear" w:color="auto" w:fill="FFFFFF"/>
        </w:rPr>
        <w:t>Landscape Ecology</w:t>
      </w:r>
      <w:r w:rsidRPr="001B0090">
        <w:rPr>
          <w:rFonts w:ascii="Century Gothic" w:hAnsi="Century Gothic" w:cs="Arial"/>
          <w:color w:val="222222"/>
          <w:sz w:val="19"/>
          <w:szCs w:val="19"/>
          <w:shd w:val="clear" w:color="auto" w:fill="FFFFFF"/>
        </w:rPr>
        <w:t> 34.3 (2019): 459-471.</w:t>
      </w:r>
    </w:p>
  </w:footnote>
  <w:footnote w:id="19">
    <w:p w14:paraId="1BDE7AC2" w14:textId="77777777" w:rsidR="009B62AA" w:rsidRPr="001B0090" w:rsidRDefault="009B62AA" w:rsidP="00C115EF">
      <w:pPr>
        <w:pStyle w:val="Comment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1B0090">
        <w:rPr>
          <w:rFonts w:ascii="Century Gothic" w:hAnsi="Century Gothic"/>
          <w:i/>
          <w:sz w:val="19"/>
          <w:szCs w:val="19"/>
        </w:rPr>
        <w:t xml:space="preserve">See </w:t>
      </w:r>
      <w:r w:rsidRPr="001B0090">
        <w:rPr>
          <w:rFonts w:ascii="Century Gothic" w:hAnsi="Century Gothic" w:cs="Arial"/>
          <w:color w:val="222222"/>
          <w:sz w:val="19"/>
          <w:szCs w:val="19"/>
          <w:shd w:val="clear" w:color="auto" w:fill="FFFFFF"/>
        </w:rPr>
        <w:t>Keeley, Jon E., and Alexandra D. Syphard. "Twenty-first century California, USA, wildfires: fuel-dominated vs. wind-dominated fires." </w:t>
      </w:r>
      <w:r w:rsidRPr="001B0090">
        <w:rPr>
          <w:rFonts w:ascii="Century Gothic" w:hAnsi="Century Gothic" w:cs="Arial"/>
          <w:i/>
          <w:color w:val="222222"/>
          <w:sz w:val="19"/>
          <w:szCs w:val="19"/>
          <w:shd w:val="clear" w:color="auto" w:fill="FFFFFF"/>
        </w:rPr>
        <w:t>Fire Ecology</w:t>
      </w:r>
      <w:r w:rsidRPr="001B0090">
        <w:rPr>
          <w:rFonts w:ascii="Century Gothic" w:hAnsi="Century Gothic" w:cs="Arial"/>
          <w:color w:val="222222"/>
          <w:sz w:val="19"/>
          <w:szCs w:val="19"/>
          <w:shd w:val="clear" w:color="auto" w:fill="FFFFFF"/>
        </w:rPr>
        <w:t xml:space="preserve"> 15, no. 1 (2019): 24; and Gibbons, Philip, A. Malcolm Gill, Nicholas Shore, Max A. Moritz, Stephen </w:t>
      </w:r>
      <w:proofErr w:type="spellStart"/>
      <w:r w:rsidRPr="001B0090">
        <w:rPr>
          <w:rFonts w:ascii="Century Gothic" w:hAnsi="Century Gothic" w:cs="Arial"/>
          <w:color w:val="222222"/>
          <w:sz w:val="19"/>
          <w:szCs w:val="19"/>
          <w:shd w:val="clear" w:color="auto" w:fill="FFFFFF"/>
        </w:rPr>
        <w:t>Dovers</w:t>
      </w:r>
      <w:proofErr w:type="spellEnd"/>
      <w:r w:rsidRPr="001B0090">
        <w:rPr>
          <w:rFonts w:ascii="Century Gothic" w:hAnsi="Century Gothic" w:cs="Arial"/>
          <w:color w:val="222222"/>
          <w:sz w:val="19"/>
          <w:szCs w:val="19"/>
          <w:shd w:val="clear" w:color="auto" w:fill="FFFFFF"/>
        </w:rPr>
        <w:t>, and Geoffrey J. Cary. "Options for reducing house-losses during wildfires without clearing trees and shrubs." </w:t>
      </w:r>
      <w:r w:rsidRPr="001B0090">
        <w:rPr>
          <w:rFonts w:ascii="Century Gothic" w:hAnsi="Century Gothic" w:cs="Arial"/>
          <w:i/>
          <w:color w:val="222222"/>
          <w:sz w:val="19"/>
          <w:szCs w:val="19"/>
          <w:shd w:val="clear" w:color="auto" w:fill="FFFFFF"/>
        </w:rPr>
        <w:t>Landscape and Urban Planning</w:t>
      </w:r>
      <w:r w:rsidRPr="001B0090">
        <w:rPr>
          <w:rFonts w:ascii="Century Gothic" w:hAnsi="Century Gothic" w:cs="Arial"/>
          <w:color w:val="222222"/>
          <w:sz w:val="19"/>
          <w:szCs w:val="19"/>
          <w:shd w:val="clear" w:color="auto" w:fill="FFFFFF"/>
        </w:rPr>
        <w:t> 174 (2018): 10-17.</w:t>
      </w:r>
    </w:p>
  </w:footnote>
  <w:footnote w:id="20">
    <w:p w14:paraId="66B50983" w14:textId="0BAF8AF9" w:rsidR="009B62AA" w:rsidRPr="001B0090" w:rsidRDefault="009B62AA" w:rsidP="00C46CCC">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SDG&amp;E 2020 Wildfire Mitigation Plan (SDG&amp;E 2020 WMP), Section 5.3.5.5. at 120.</w:t>
      </w:r>
    </w:p>
  </w:footnote>
  <w:footnote w:id="21">
    <w:p w14:paraId="41AF5B89" w14:textId="417BA85D"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2F1B03">
        <w:rPr>
          <w:rFonts w:ascii="Century Gothic" w:hAnsi="Century Gothic"/>
          <w:iCs/>
          <w:sz w:val="19"/>
          <w:szCs w:val="19"/>
        </w:rPr>
        <w:t>2020 WMP Guidelines</w:t>
      </w:r>
      <w:r w:rsidRPr="001B0090" w:rsidDel="00C46CCC">
        <w:rPr>
          <w:rFonts w:ascii="Century Gothic" w:hAnsi="Century Gothic"/>
          <w:i/>
          <w:sz w:val="19"/>
          <w:szCs w:val="19"/>
        </w:rPr>
        <w:t xml:space="preserve"> </w:t>
      </w:r>
      <w:r w:rsidRPr="001B0090">
        <w:rPr>
          <w:rFonts w:ascii="Century Gothic" w:hAnsi="Century Gothic"/>
          <w:sz w:val="19"/>
          <w:szCs w:val="19"/>
        </w:rPr>
        <w:t>at 11.</w:t>
      </w:r>
    </w:p>
  </w:footnote>
  <w:footnote w:id="22">
    <w:p w14:paraId="139993CB" w14:textId="232B633F" w:rsidR="009B62AA" w:rsidRPr="001B0090" w:rsidRDefault="009B62AA" w:rsidP="001B0090">
      <w:pPr>
        <w:pStyle w:val="FootnoteText"/>
        <w:spacing w:after="120"/>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4B68F4">
        <w:rPr>
          <w:rFonts w:ascii="Century Gothic" w:hAnsi="Century Gothic"/>
          <w:sz w:val="19"/>
          <w:szCs w:val="19"/>
        </w:rPr>
        <w:t xml:space="preserve">2020 WMP Guidelines </w:t>
      </w:r>
      <w:r w:rsidRPr="001B0090">
        <w:rPr>
          <w:rFonts w:ascii="Century Gothic" w:hAnsi="Century Gothic"/>
          <w:sz w:val="19"/>
          <w:szCs w:val="19"/>
        </w:rPr>
        <w:t xml:space="preserve">at 74-82. </w:t>
      </w:r>
    </w:p>
  </w:footnote>
  <w:footnote w:id="23">
    <w:p w14:paraId="19C59183" w14:textId="3F2A5446"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4B68F4">
        <w:rPr>
          <w:rFonts w:ascii="Century Gothic" w:hAnsi="Century Gothic"/>
          <w:iCs/>
          <w:sz w:val="19"/>
          <w:szCs w:val="19"/>
        </w:rPr>
        <w:t>2020 WMP Guidelines</w:t>
      </w:r>
      <w:r w:rsidRPr="001B0090">
        <w:rPr>
          <w:rFonts w:ascii="Century Gothic" w:hAnsi="Century Gothic"/>
          <w:sz w:val="19"/>
          <w:szCs w:val="19"/>
        </w:rPr>
        <w:t xml:space="preserve"> at 67.</w:t>
      </w:r>
    </w:p>
  </w:footnote>
  <w:footnote w:id="24">
    <w:p w14:paraId="09531AF5" w14:textId="3FF6E1BC" w:rsidR="009B62AA" w:rsidRPr="001B0090" w:rsidRDefault="009B62AA" w:rsidP="00C115EF">
      <w:pPr>
        <w:pStyle w:val="FootnoteText"/>
        <w:spacing w:after="120" w:line="276" w:lineRule="auto"/>
        <w:rPr>
          <w:rFonts w:ascii="Century Gothic" w:hAnsi="Century Gothic"/>
          <w:sz w:val="19"/>
          <w:szCs w:val="19"/>
        </w:rPr>
      </w:pPr>
      <w:r w:rsidRPr="00E23364">
        <w:rPr>
          <w:rFonts w:ascii="Century Gothic" w:hAnsi="Century Gothic"/>
          <w:sz w:val="19"/>
          <w:szCs w:val="19"/>
          <w:vertAlign w:val="superscript"/>
        </w:rPr>
        <w:t>20</w:t>
      </w:r>
      <w:r>
        <w:rPr>
          <w:rFonts w:ascii="Century Gothic" w:hAnsi="Century Gothic"/>
          <w:sz w:val="19"/>
          <w:szCs w:val="19"/>
        </w:rPr>
        <w:t xml:space="preserve"> </w:t>
      </w:r>
      <w:r w:rsidRPr="001B0090">
        <w:rPr>
          <w:rFonts w:ascii="Century Gothic" w:hAnsi="Century Gothic"/>
          <w:sz w:val="19"/>
          <w:szCs w:val="19"/>
        </w:rPr>
        <w:t>For example, PG&amp;E 2020 WMP</w:t>
      </w:r>
      <w:r>
        <w:rPr>
          <w:rFonts w:ascii="Century Gothic" w:hAnsi="Century Gothic"/>
          <w:sz w:val="19"/>
          <w:szCs w:val="19"/>
        </w:rPr>
        <w:t>,</w:t>
      </w:r>
      <w:r w:rsidRPr="001B0090">
        <w:rPr>
          <w:rFonts w:ascii="Century Gothic" w:hAnsi="Century Gothic"/>
          <w:sz w:val="19"/>
          <w:szCs w:val="19"/>
        </w:rPr>
        <w:t xml:space="preserve"> Section 5.3.3.8. at 5-125.  </w:t>
      </w:r>
    </w:p>
  </w:footnote>
  <w:footnote w:id="25">
    <w:p w14:paraId="209364ED" w14:textId="77777777"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1B0090">
        <w:rPr>
          <w:rFonts w:ascii="Century Gothic" w:hAnsi="Century Gothic"/>
          <w:color w:val="030303"/>
          <w:sz w:val="19"/>
          <w:szCs w:val="19"/>
        </w:rPr>
        <w:t xml:space="preserve">Informational Workshop: 2020 Wildfire Mitigation Plans - Day 1, February 18, 2020 at 4:50:39, available at: </w:t>
      </w:r>
      <w:hyperlink r:id="rId3" w:history="1">
        <w:r w:rsidRPr="001B0090">
          <w:rPr>
            <w:rStyle w:val="Hyperlink"/>
            <w:rFonts w:ascii="Century Gothic" w:hAnsi="Century Gothic"/>
            <w:sz w:val="19"/>
            <w:szCs w:val="19"/>
          </w:rPr>
          <w:t>https://youtu.be/vEHNRANBLGY</w:t>
        </w:r>
      </w:hyperlink>
      <w:r w:rsidRPr="001B0090">
        <w:rPr>
          <w:rFonts w:ascii="Century Gothic" w:hAnsi="Century Gothic"/>
          <w:color w:val="030303"/>
          <w:sz w:val="19"/>
          <w:szCs w:val="19"/>
        </w:rPr>
        <w:t xml:space="preserve">. </w:t>
      </w:r>
    </w:p>
  </w:footnote>
  <w:footnote w:id="26">
    <w:p w14:paraId="543DCBD8" w14:textId="77777777"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1B0090">
        <w:rPr>
          <w:rFonts w:ascii="Century Gothic" w:eastAsia="Times New Roman" w:hAnsi="Century Gothic"/>
          <w:i/>
          <w:color w:val="000000"/>
          <w:sz w:val="19"/>
          <w:szCs w:val="19"/>
        </w:rPr>
        <w:t xml:space="preserve">Id. </w:t>
      </w:r>
      <w:r w:rsidRPr="001B0090">
        <w:rPr>
          <w:rFonts w:ascii="Century Gothic" w:eastAsia="Times New Roman" w:hAnsi="Century Gothic"/>
          <w:color w:val="000000"/>
          <w:sz w:val="19"/>
          <w:szCs w:val="19"/>
        </w:rPr>
        <w:t>at 1:52:24.</w:t>
      </w:r>
    </w:p>
  </w:footnote>
  <w:footnote w:id="27">
    <w:p w14:paraId="61C20910" w14:textId="20B3DBCD"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For example, PG&amp;E </w:t>
      </w:r>
      <w:r>
        <w:rPr>
          <w:rFonts w:ascii="Century Gothic" w:hAnsi="Century Gothic"/>
          <w:sz w:val="19"/>
          <w:szCs w:val="19"/>
        </w:rPr>
        <w:t xml:space="preserve">2020 </w:t>
      </w:r>
      <w:r w:rsidRPr="001B0090">
        <w:rPr>
          <w:rFonts w:ascii="Century Gothic" w:hAnsi="Century Gothic"/>
          <w:sz w:val="19"/>
          <w:szCs w:val="19"/>
        </w:rPr>
        <w:t>WMP</w:t>
      </w:r>
      <w:r>
        <w:rPr>
          <w:rFonts w:ascii="Century Gothic" w:hAnsi="Century Gothic"/>
          <w:sz w:val="19"/>
          <w:szCs w:val="19"/>
        </w:rPr>
        <w:t>,</w:t>
      </w:r>
      <w:r w:rsidRPr="001B0090">
        <w:rPr>
          <w:rFonts w:ascii="Century Gothic" w:hAnsi="Century Gothic"/>
          <w:sz w:val="19"/>
          <w:szCs w:val="19"/>
        </w:rPr>
        <w:t xml:space="preserve"> Section 5.3.3.8. at 5-125.  </w:t>
      </w:r>
    </w:p>
  </w:footnote>
  <w:footnote w:id="28">
    <w:p w14:paraId="30350AAE" w14:textId="42E1249A"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For example, PG&amp;E </w:t>
      </w:r>
      <w:r>
        <w:rPr>
          <w:rFonts w:ascii="Century Gothic" w:hAnsi="Century Gothic"/>
          <w:sz w:val="19"/>
          <w:szCs w:val="19"/>
        </w:rPr>
        <w:t xml:space="preserve">2020 </w:t>
      </w:r>
      <w:r w:rsidRPr="001B0090">
        <w:rPr>
          <w:rFonts w:ascii="Century Gothic" w:hAnsi="Century Gothic"/>
          <w:sz w:val="19"/>
          <w:szCs w:val="19"/>
        </w:rPr>
        <w:t>WMP</w:t>
      </w:r>
      <w:r>
        <w:rPr>
          <w:rFonts w:ascii="Century Gothic" w:hAnsi="Century Gothic"/>
          <w:sz w:val="19"/>
          <w:szCs w:val="19"/>
        </w:rPr>
        <w:t>,</w:t>
      </w:r>
      <w:r w:rsidRPr="001B0090">
        <w:rPr>
          <w:rFonts w:ascii="Century Gothic" w:hAnsi="Century Gothic"/>
          <w:sz w:val="19"/>
          <w:szCs w:val="19"/>
        </w:rPr>
        <w:t xml:space="preserve"> Section 5.3.3.8. at 5-125.  </w:t>
      </w:r>
    </w:p>
  </w:footnote>
  <w:footnote w:id="29">
    <w:p w14:paraId="3434E7FB" w14:textId="77777777"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This nine-year period begins with the opening of Rulemaking 08-11-005 in response to October 2007 fires in Southern California.  The nine-year period ends with the development of the HFTD maps approved in D.17-12-024.</w:t>
      </w:r>
    </w:p>
  </w:footnote>
  <w:footnote w:id="30">
    <w:p w14:paraId="2405A5D2" w14:textId="4A853C69"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w:t>
      </w:r>
      <w:r w:rsidRPr="004B68F4">
        <w:rPr>
          <w:rFonts w:ascii="Century Gothic" w:hAnsi="Century Gothic"/>
          <w:sz w:val="19"/>
          <w:szCs w:val="19"/>
        </w:rPr>
        <w:t>2020 WMP Guidelines</w:t>
      </w:r>
      <w:r w:rsidRPr="001B0090">
        <w:rPr>
          <w:rFonts w:ascii="Century Gothic" w:hAnsi="Century Gothic"/>
          <w:i/>
          <w:sz w:val="19"/>
          <w:szCs w:val="19"/>
        </w:rPr>
        <w:t xml:space="preserve"> </w:t>
      </w:r>
      <w:r w:rsidRPr="001B0090">
        <w:rPr>
          <w:rFonts w:ascii="Century Gothic" w:hAnsi="Century Gothic"/>
          <w:sz w:val="19"/>
          <w:szCs w:val="19"/>
        </w:rPr>
        <w:t xml:space="preserve">at 12. </w:t>
      </w:r>
    </w:p>
  </w:footnote>
  <w:footnote w:id="31">
    <w:p w14:paraId="00C1D196" w14:textId="3B28E51A"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PG&amp;E 2020 Wildfire Mitigation Plan Report (PG&amp;E 2020 WMP), Section 5.6.2.1.1.</w:t>
      </w:r>
    </w:p>
  </w:footnote>
  <w:footnote w:id="32">
    <w:p w14:paraId="269210B4" w14:textId="5FC27CC4"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SCE 2020-2022 Wildfire Mitigation Plan (SCE 2020 WMP), Section 5.3.6.4.</w:t>
      </w:r>
    </w:p>
  </w:footnote>
  <w:footnote w:id="33">
    <w:p w14:paraId="4C979F7C" w14:textId="4CB6ACDE"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SDG&amp;E 2020 Wildfire Mitigation Plan (SDG&amp;E 2020 WMP), Section 5.3.6.4.</w:t>
      </w:r>
    </w:p>
  </w:footnote>
  <w:footnote w:id="34">
    <w:p w14:paraId="6FCE3212" w14:textId="1712958C"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PG&amp;E 2020 WMP, Section 4.1.</w:t>
      </w:r>
    </w:p>
  </w:footnote>
  <w:footnote w:id="35">
    <w:p w14:paraId="1499E80C" w14:textId="7599D53B"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SCE 2020 WMP, Section 5.3.9.5.</w:t>
      </w:r>
    </w:p>
  </w:footnote>
  <w:footnote w:id="36">
    <w:p w14:paraId="59C75073" w14:textId="77777777"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SDG&amp;E 2020 WMP, Section 5.1.</w:t>
      </w:r>
    </w:p>
  </w:footnote>
  <w:footnote w:id="37">
    <w:p w14:paraId="0B32A509" w14:textId="64F34811"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SDG&amp;E 2020 WMP, Section 5.3.2.3.</w:t>
      </w:r>
    </w:p>
  </w:footnote>
  <w:footnote w:id="38">
    <w:p w14:paraId="1A2758BB" w14:textId="77777777"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SDG&amp;E 2020 WMP, Section 5.3.3.17.1.</w:t>
      </w:r>
    </w:p>
  </w:footnote>
  <w:footnote w:id="39">
    <w:p w14:paraId="4CD74E9F" w14:textId="48E678D7" w:rsidR="009B62AA" w:rsidRPr="001B0090" w:rsidRDefault="009B62AA" w:rsidP="00C115EF">
      <w:pPr>
        <w:pStyle w:val="FootnoteText"/>
        <w:spacing w:after="120" w:line="276" w:lineRule="auto"/>
        <w:rPr>
          <w:rFonts w:ascii="Century Gothic" w:hAnsi="Century Gothic"/>
          <w:sz w:val="19"/>
          <w:szCs w:val="19"/>
        </w:rPr>
      </w:pPr>
      <w:r w:rsidRPr="001B0090">
        <w:rPr>
          <w:rStyle w:val="FootnoteReference"/>
          <w:rFonts w:ascii="Century Gothic" w:hAnsi="Century Gothic"/>
          <w:sz w:val="19"/>
          <w:szCs w:val="19"/>
        </w:rPr>
        <w:footnoteRef/>
      </w:r>
      <w:r w:rsidRPr="001B0090">
        <w:rPr>
          <w:rFonts w:ascii="Century Gothic" w:hAnsi="Century Gothic"/>
          <w:sz w:val="19"/>
          <w:szCs w:val="19"/>
        </w:rPr>
        <w:t xml:space="preserve"> SDG&amp;E 2020 WMP, Section 5.3.6.1.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6DB0" w14:textId="77777777" w:rsidR="009B62AA" w:rsidRPr="003B021D" w:rsidRDefault="009B62AA" w:rsidP="004B16B4">
    <w:pPr>
      <w:spacing w:after="0"/>
      <w:ind w:right="180"/>
      <w:jc w:val="right"/>
      <w:rPr>
        <w:rFonts w:ascii="Garamond" w:hAnsi="Garamond"/>
        <w:sz w:val="24"/>
        <w:szCs w:val="24"/>
      </w:rPr>
    </w:pPr>
    <w:r w:rsidRPr="003B021D">
      <w:rPr>
        <w:rFonts w:ascii="Garamond" w:hAnsi="Garamond"/>
        <w:noProof/>
        <w:sz w:val="24"/>
        <w:szCs w:val="24"/>
      </w:rPr>
      <w:drawing>
        <wp:anchor distT="0" distB="0" distL="114300" distR="114300" simplePos="0" relativeHeight="251658240" behindDoc="0" locked="0" layoutInCell="1" allowOverlap="1" wp14:anchorId="7CB12BA6" wp14:editId="33E46EA6">
          <wp:simplePos x="0" y="0"/>
          <wp:positionH relativeFrom="rightMargin">
            <wp:posOffset>-142875</wp:posOffset>
          </wp:positionH>
          <wp:positionV relativeFrom="paragraph">
            <wp:posOffset>9525</wp:posOffset>
          </wp:positionV>
          <wp:extent cx="295275" cy="295275"/>
          <wp:effectExtent l="0" t="0" r="0" b="9525"/>
          <wp:wrapNone/>
          <wp:docPr id="57" name="Graphic 57"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3B021D">
      <w:rPr>
        <w:rFonts w:ascii="Garamond" w:hAnsi="Garamond"/>
        <w:sz w:val="24"/>
        <w:szCs w:val="24"/>
      </w:rPr>
      <w:t xml:space="preserve">     Wildfire Safety Advisory Board Recommendations</w:t>
    </w:r>
  </w:p>
  <w:p w14:paraId="66A3D1BA" w14:textId="77777777" w:rsidR="009B62AA" w:rsidRPr="003B021D" w:rsidRDefault="009B62AA" w:rsidP="004B16B4">
    <w:pPr>
      <w:spacing w:after="0"/>
      <w:ind w:right="180"/>
      <w:jc w:val="right"/>
      <w:rPr>
        <w:rFonts w:ascii="Garamond" w:hAnsi="Garamond"/>
        <w:sz w:val="24"/>
        <w:szCs w:val="24"/>
      </w:rPr>
    </w:pPr>
    <w:r w:rsidRPr="003B021D">
      <w:rPr>
        <w:rFonts w:ascii="Garamond" w:hAnsi="Garamond"/>
        <w:sz w:val="24"/>
        <w:szCs w:val="24"/>
      </w:rPr>
      <w:t xml:space="preserve">2020 Utility Wildfire Mitigation Plans </w:t>
    </w:r>
  </w:p>
  <w:p w14:paraId="0FF10656" w14:textId="77777777" w:rsidR="009B62AA" w:rsidRPr="002967E9" w:rsidRDefault="009B62AA">
    <w:pPr>
      <w:pStyle w:val="Head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3A"/>
    <w:multiLevelType w:val="hybridMultilevel"/>
    <w:tmpl w:val="38F215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A23BE"/>
    <w:multiLevelType w:val="hybridMultilevel"/>
    <w:tmpl w:val="C9AEAD7C"/>
    <w:lvl w:ilvl="0" w:tplc="0409000B">
      <w:start w:val="1"/>
      <w:numFmt w:val="bullet"/>
      <w:lvlText w:val=""/>
      <w:lvlJc w:val="left"/>
      <w:pPr>
        <w:ind w:left="720" w:hanging="360"/>
      </w:pPr>
      <w:rPr>
        <w:rFonts w:ascii="Wingdings" w:hAnsi="Wingdings" w:hint="default"/>
      </w:rPr>
    </w:lvl>
    <w:lvl w:ilvl="1" w:tplc="144C07E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71CA"/>
    <w:multiLevelType w:val="hybridMultilevel"/>
    <w:tmpl w:val="69ECF842"/>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961CE"/>
    <w:multiLevelType w:val="hybridMultilevel"/>
    <w:tmpl w:val="E782E7B0"/>
    <w:lvl w:ilvl="0" w:tplc="1D76785A">
      <w:start w:val="1"/>
      <w:numFmt w:val="bullet"/>
      <w:lvlText w:val="→"/>
      <w:lvlJc w:val="left"/>
      <w:pPr>
        <w:ind w:left="720" w:hanging="360"/>
      </w:pPr>
      <w:rPr>
        <w:rFonts w:ascii="Garamond" w:hAnsi="Garamond" w:hint="default"/>
      </w:rPr>
    </w:lvl>
    <w:lvl w:ilvl="1" w:tplc="144C07E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34D8"/>
    <w:multiLevelType w:val="hybridMultilevel"/>
    <w:tmpl w:val="524A3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6A0048"/>
    <w:multiLevelType w:val="hybridMultilevel"/>
    <w:tmpl w:val="0AB877D0"/>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565D7"/>
    <w:multiLevelType w:val="hybridMultilevel"/>
    <w:tmpl w:val="FFFFFFFF"/>
    <w:lvl w:ilvl="0" w:tplc="5A3875FA">
      <w:start w:val="1"/>
      <w:numFmt w:val="decimal"/>
      <w:lvlText w:val="%1."/>
      <w:lvlJc w:val="left"/>
      <w:pPr>
        <w:ind w:left="720" w:hanging="360"/>
      </w:pPr>
    </w:lvl>
    <w:lvl w:ilvl="1" w:tplc="650E2520">
      <w:start w:val="1"/>
      <w:numFmt w:val="lowerLetter"/>
      <w:lvlText w:val="%2."/>
      <w:lvlJc w:val="left"/>
      <w:pPr>
        <w:ind w:left="1440" w:hanging="360"/>
      </w:pPr>
    </w:lvl>
    <w:lvl w:ilvl="2" w:tplc="9D86BEBC">
      <w:start w:val="1"/>
      <w:numFmt w:val="lowerRoman"/>
      <w:lvlText w:val="%3."/>
      <w:lvlJc w:val="right"/>
      <w:pPr>
        <w:ind w:left="2160" w:hanging="180"/>
      </w:pPr>
    </w:lvl>
    <w:lvl w:ilvl="3" w:tplc="BB367FC4">
      <w:start w:val="1"/>
      <w:numFmt w:val="decimal"/>
      <w:lvlText w:val="%4."/>
      <w:lvlJc w:val="left"/>
      <w:pPr>
        <w:ind w:left="2880" w:hanging="360"/>
      </w:pPr>
    </w:lvl>
    <w:lvl w:ilvl="4" w:tplc="12C45F70">
      <w:start w:val="1"/>
      <w:numFmt w:val="lowerLetter"/>
      <w:lvlText w:val="%5."/>
      <w:lvlJc w:val="left"/>
      <w:pPr>
        <w:ind w:left="3600" w:hanging="360"/>
      </w:pPr>
    </w:lvl>
    <w:lvl w:ilvl="5" w:tplc="E1529E2E">
      <w:start w:val="1"/>
      <w:numFmt w:val="lowerRoman"/>
      <w:lvlText w:val="%6."/>
      <w:lvlJc w:val="right"/>
      <w:pPr>
        <w:ind w:left="4320" w:hanging="180"/>
      </w:pPr>
    </w:lvl>
    <w:lvl w:ilvl="6" w:tplc="D38C32A8">
      <w:start w:val="1"/>
      <w:numFmt w:val="decimal"/>
      <w:lvlText w:val="%7."/>
      <w:lvlJc w:val="left"/>
      <w:pPr>
        <w:ind w:left="5040" w:hanging="360"/>
      </w:pPr>
    </w:lvl>
    <w:lvl w:ilvl="7" w:tplc="DC50759E">
      <w:start w:val="1"/>
      <w:numFmt w:val="lowerLetter"/>
      <w:lvlText w:val="%8."/>
      <w:lvlJc w:val="left"/>
      <w:pPr>
        <w:ind w:left="5760" w:hanging="360"/>
      </w:pPr>
    </w:lvl>
    <w:lvl w:ilvl="8" w:tplc="C0FAA9D2">
      <w:start w:val="1"/>
      <w:numFmt w:val="lowerRoman"/>
      <w:lvlText w:val="%9."/>
      <w:lvlJc w:val="right"/>
      <w:pPr>
        <w:ind w:left="6480" w:hanging="180"/>
      </w:pPr>
    </w:lvl>
  </w:abstractNum>
  <w:abstractNum w:abstractNumId="7" w15:restartNumberingAfterBreak="0">
    <w:nsid w:val="17FE1B40"/>
    <w:multiLevelType w:val="hybridMultilevel"/>
    <w:tmpl w:val="377A8DD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B6FF7"/>
    <w:multiLevelType w:val="hybridMultilevel"/>
    <w:tmpl w:val="466631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56DD1"/>
    <w:multiLevelType w:val="hybridMultilevel"/>
    <w:tmpl w:val="987EC7BE"/>
    <w:lvl w:ilvl="0" w:tplc="1D76785A">
      <w:start w:val="1"/>
      <w:numFmt w:val="bullet"/>
      <w:lvlText w:val="→"/>
      <w:lvlJc w:val="left"/>
      <w:pPr>
        <w:ind w:left="720" w:hanging="360"/>
      </w:pPr>
      <w:rPr>
        <w:rFonts w:ascii="Garamond" w:hAnsi="Garamond" w:hint="default"/>
      </w:rPr>
    </w:lvl>
    <w:lvl w:ilvl="1" w:tplc="144C07E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16576"/>
    <w:multiLevelType w:val="hybridMultilevel"/>
    <w:tmpl w:val="D4BA7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671C8"/>
    <w:multiLevelType w:val="hybridMultilevel"/>
    <w:tmpl w:val="8638AD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C47E9"/>
    <w:multiLevelType w:val="hybridMultilevel"/>
    <w:tmpl w:val="ED44F852"/>
    <w:lvl w:ilvl="0" w:tplc="17428BA4">
      <w:start w:val="1"/>
      <w:numFmt w:val="bullet"/>
      <w:lvlText w:val=""/>
      <w:lvlJc w:val="left"/>
      <w:pPr>
        <w:ind w:left="720" w:hanging="360"/>
      </w:pPr>
      <w:rPr>
        <w:rFonts w:ascii="Wingdings" w:hAnsi="Wingdings" w:hint="default"/>
      </w:rPr>
    </w:lvl>
    <w:lvl w:ilvl="1" w:tplc="B8368032">
      <w:start w:val="1"/>
      <w:numFmt w:val="bullet"/>
      <w:lvlText w:val="o"/>
      <w:lvlJc w:val="left"/>
      <w:pPr>
        <w:ind w:left="1440" w:hanging="360"/>
      </w:pPr>
      <w:rPr>
        <w:rFonts w:ascii="Courier New" w:hAnsi="Courier New" w:hint="default"/>
      </w:rPr>
    </w:lvl>
    <w:lvl w:ilvl="2" w:tplc="659EF474">
      <w:start w:val="1"/>
      <w:numFmt w:val="bullet"/>
      <w:lvlText w:val=""/>
      <w:lvlJc w:val="left"/>
      <w:pPr>
        <w:ind w:left="2160" w:hanging="360"/>
      </w:pPr>
      <w:rPr>
        <w:rFonts w:ascii="Wingdings" w:hAnsi="Wingdings" w:hint="default"/>
      </w:rPr>
    </w:lvl>
    <w:lvl w:ilvl="3" w:tplc="ACC4906C">
      <w:start w:val="1"/>
      <w:numFmt w:val="bullet"/>
      <w:lvlText w:val=""/>
      <w:lvlJc w:val="left"/>
      <w:pPr>
        <w:ind w:left="2880" w:hanging="360"/>
      </w:pPr>
      <w:rPr>
        <w:rFonts w:ascii="Symbol" w:hAnsi="Symbol" w:hint="default"/>
      </w:rPr>
    </w:lvl>
    <w:lvl w:ilvl="4" w:tplc="0B14822C">
      <w:start w:val="1"/>
      <w:numFmt w:val="bullet"/>
      <w:lvlText w:val="o"/>
      <w:lvlJc w:val="left"/>
      <w:pPr>
        <w:ind w:left="3600" w:hanging="360"/>
      </w:pPr>
      <w:rPr>
        <w:rFonts w:ascii="Courier New" w:hAnsi="Courier New" w:hint="default"/>
      </w:rPr>
    </w:lvl>
    <w:lvl w:ilvl="5" w:tplc="3CF044F8">
      <w:start w:val="1"/>
      <w:numFmt w:val="bullet"/>
      <w:lvlText w:val=""/>
      <w:lvlJc w:val="left"/>
      <w:pPr>
        <w:ind w:left="4320" w:hanging="360"/>
      </w:pPr>
      <w:rPr>
        <w:rFonts w:ascii="Wingdings" w:hAnsi="Wingdings" w:hint="default"/>
      </w:rPr>
    </w:lvl>
    <w:lvl w:ilvl="6" w:tplc="5B507F42">
      <w:start w:val="1"/>
      <w:numFmt w:val="bullet"/>
      <w:lvlText w:val=""/>
      <w:lvlJc w:val="left"/>
      <w:pPr>
        <w:ind w:left="5040" w:hanging="360"/>
      </w:pPr>
      <w:rPr>
        <w:rFonts w:ascii="Symbol" w:hAnsi="Symbol" w:hint="default"/>
      </w:rPr>
    </w:lvl>
    <w:lvl w:ilvl="7" w:tplc="6D4425D0">
      <w:start w:val="1"/>
      <w:numFmt w:val="bullet"/>
      <w:lvlText w:val="o"/>
      <w:lvlJc w:val="left"/>
      <w:pPr>
        <w:ind w:left="5760" w:hanging="360"/>
      </w:pPr>
      <w:rPr>
        <w:rFonts w:ascii="Courier New" w:hAnsi="Courier New" w:hint="default"/>
      </w:rPr>
    </w:lvl>
    <w:lvl w:ilvl="8" w:tplc="07E2C19A">
      <w:start w:val="1"/>
      <w:numFmt w:val="bullet"/>
      <w:lvlText w:val=""/>
      <w:lvlJc w:val="left"/>
      <w:pPr>
        <w:ind w:left="6480" w:hanging="360"/>
      </w:pPr>
      <w:rPr>
        <w:rFonts w:ascii="Wingdings" w:hAnsi="Wingdings" w:hint="default"/>
      </w:rPr>
    </w:lvl>
  </w:abstractNum>
  <w:abstractNum w:abstractNumId="13" w15:restartNumberingAfterBreak="0">
    <w:nsid w:val="29247F48"/>
    <w:multiLevelType w:val="hybridMultilevel"/>
    <w:tmpl w:val="8AFC6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85D72"/>
    <w:multiLevelType w:val="hybridMultilevel"/>
    <w:tmpl w:val="4B3EDA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1C0454"/>
    <w:multiLevelType w:val="hybridMultilevel"/>
    <w:tmpl w:val="B4166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4FCA0B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20842"/>
    <w:multiLevelType w:val="hybridMultilevel"/>
    <w:tmpl w:val="A7B410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D11767"/>
    <w:multiLevelType w:val="hybridMultilevel"/>
    <w:tmpl w:val="24820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F2051"/>
    <w:multiLevelType w:val="hybridMultilevel"/>
    <w:tmpl w:val="D29AF6F0"/>
    <w:lvl w:ilvl="0" w:tplc="0409000B">
      <w:start w:val="1"/>
      <w:numFmt w:val="bullet"/>
      <w:lvlText w:val=""/>
      <w:lvlJc w:val="left"/>
      <w:pPr>
        <w:ind w:left="720" w:hanging="360"/>
      </w:pPr>
      <w:rPr>
        <w:rFonts w:ascii="Wingdings" w:hAnsi="Wingdings" w:hint="default"/>
      </w:rPr>
    </w:lvl>
    <w:lvl w:ilvl="1" w:tplc="144C07E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36AAE"/>
    <w:multiLevelType w:val="hybridMultilevel"/>
    <w:tmpl w:val="D3143D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376F29"/>
    <w:multiLevelType w:val="hybridMultilevel"/>
    <w:tmpl w:val="68B2D61A"/>
    <w:lvl w:ilvl="0" w:tplc="674E90EC">
      <w:start w:val="1"/>
      <w:numFmt w:val="upperLetter"/>
      <w:lvlText w:val="(%1)"/>
      <w:lvlJc w:val="left"/>
      <w:pPr>
        <w:ind w:left="1440" w:hanging="360"/>
      </w:pPr>
      <w:rPr>
        <w:rFonts w:ascii="Century Gothic" w:eastAsia="Times New Roman" w:hAnsi="Century Gothic" w:hint="default"/>
        <w:color w:val="00000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99791A"/>
    <w:multiLevelType w:val="hybridMultilevel"/>
    <w:tmpl w:val="69D202C4"/>
    <w:lvl w:ilvl="0" w:tplc="76D2E0F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73E58"/>
    <w:multiLevelType w:val="hybridMultilevel"/>
    <w:tmpl w:val="F15627E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3E2558DB"/>
    <w:multiLevelType w:val="hybridMultilevel"/>
    <w:tmpl w:val="3CBEBF08"/>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253584"/>
    <w:multiLevelType w:val="hybridMultilevel"/>
    <w:tmpl w:val="6BBEDB00"/>
    <w:lvl w:ilvl="0" w:tplc="1D76785A">
      <w:start w:val="1"/>
      <w:numFmt w:val="bullet"/>
      <w:lvlText w:val="→"/>
      <w:lvlJc w:val="left"/>
      <w:pPr>
        <w:ind w:left="1170" w:hanging="360"/>
      </w:pPr>
      <w:rPr>
        <w:rFonts w:ascii="Garamond" w:hAnsi="Garamond"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4A77477"/>
    <w:multiLevelType w:val="hybridMultilevel"/>
    <w:tmpl w:val="108E56D8"/>
    <w:lvl w:ilvl="0" w:tplc="04090015">
      <w:start w:val="1"/>
      <w:numFmt w:val="upperLetter"/>
      <w:lvlText w:val="%1."/>
      <w:lvlJc w:val="left"/>
      <w:pPr>
        <w:ind w:left="720" w:hanging="360"/>
      </w:pPr>
      <w:rPr>
        <w:rFonts w:hint="default"/>
      </w:rPr>
    </w:lvl>
    <w:lvl w:ilvl="1" w:tplc="5A3875FA">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A7F9E"/>
    <w:multiLevelType w:val="hybridMultilevel"/>
    <w:tmpl w:val="6400D4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432CFC"/>
    <w:multiLevelType w:val="hybridMultilevel"/>
    <w:tmpl w:val="F942E442"/>
    <w:lvl w:ilvl="0" w:tplc="1D76785A">
      <w:start w:val="1"/>
      <w:numFmt w:val="bullet"/>
      <w:lvlText w:val="→"/>
      <w:lvlJc w:val="left"/>
      <w:pPr>
        <w:ind w:left="720" w:hanging="360"/>
      </w:pPr>
      <w:rPr>
        <w:rFonts w:ascii="Garamond" w:hAnsi="Garamond" w:hint="default"/>
      </w:rPr>
    </w:lvl>
    <w:lvl w:ilvl="1" w:tplc="1D76785A">
      <w:start w:val="1"/>
      <w:numFmt w:val="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841DB"/>
    <w:multiLevelType w:val="hybridMultilevel"/>
    <w:tmpl w:val="77883E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757CAC"/>
    <w:multiLevelType w:val="hybridMultilevel"/>
    <w:tmpl w:val="FFFFFFFF"/>
    <w:lvl w:ilvl="0" w:tplc="54C2F97A">
      <w:start w:val="1"/>
      <w:numFmt w:val="decimal"/>
      <w:lvlText w:val="%1."/>
      <w:lvlJc w:val="left"/>
      <w:pPr>
        <w:ind w:left="720" w:hanging="360"/>
      </w:pPr>
    </w:lvl>
    <w:lvl w:ilvl="1" w:tplc="40240896">
      <w:start w:val="1"/>
      <w:numFmt w:val="lowerLetter"/>
      <w:lvlText w:val="%2."/>
      <w:lvlJc w:val="left"/>
      <w:pPr>
        <w:ind w:left="1440" w:hanging="360"/>
      </w:pPr>
    </w:lvl>
    <w:lvl w:ilvl="2" w:tplc="E0EE8D56">
      <w:start w:val="1"/>
      <w:numFmt w:val="lowerRoman"/>
      <w:lvlText w:val="%3."/>
      <w:lvlJc w:val="right"/>
      <w:pPr>
        <w:ind w:left="2160" w:hanging="180"/>
      </w:pPr>
    </w:lvl>
    <w:lvl w:ilvl="3" w:tplc="A09AA354">
      <w:start w:val="1"/>
      <w:numFmt w:val="decimal"/>
      <w:lvlText w:val="%4."/>
      <w:lvlJc w:val="left"/>
      <w:pPr>
        <w:ind w:left="2880" w:hanging="360"/>
      </w:pPr>
    </w:lvl>
    <w:lvl w:ilvl="4" w:tplc="3F6446F4">
      <w:start w:val="1"/>
      <w:numFmt w:val="lowerLetter"/>
      <w:lvlText w:val="%5."/>
      <w:lvlJc w:val="left"/>
      <w:pPr>
        <w:ind w:left="3600" w:hanging="360"/>
      </w:pPr>
    </w:lvl>
    <w:lvl w:ilvl="5" w:tplc="54164EDA">
      <w:start w:val="1"/>
      <w:numFmt w:val="lowerRoman"/>
      <w:lvlText w:val="%6."/>
      <w:lvlJc w:val="right"/>
      <w:pPr>
        <w:ind w:left="4320" w:hanging="180"/>
      </w:pPr>
    </w:lvl>
    <w:lvl w:ilvl="6" w:tplc="602C177C">
      <w:start w:val="1"/>
      <w:numFmt w:val="decimal"/>
      <w:lvlText w:val="%7."/>
      <w:lvlJc w:val="left"/>
      <w:pPr>
        <w:ind w:left="5040" w:hanging="360"/>
      </w:pPr>
    </w:lvl>
    <w:lvl w:ilvl="7" w:tplc="662660F2">
      <w:start w:val="1"/>
      <w:numFmt w:val="lowerLetter"/>
      <w:lvlText w:val="%8."/>
      <w:lvlJc w:val="left"/>
      <w:pPr>
        <w:ind w:left="5760" w:hanging="360"/>
      </w:pPr>
    </w:lvl>
    <w:lvl w:ilvl="8" w:tplc="882456AC">
      <w:start w:val="1"/>
      <w:numFmt w:val="lowerRoman"/>
      <w:lvlText w:val="%9."/>
      <w:lvlJc w:val="right"/>
      <w:pPr>
        <w:ind w:left="6480" w:hanging="180"/>
      </w:pPr>
    </w:lvl>
  </w:abstractNum>
  <w:abstractNum w:abstractNumId="30" w15:restartNumberingAfterBreak="0">
    <w:nsid w:val="4A6B34B8"/>
    <w:multiLevelType w:val="hybridMultilevel"/>
    <w:tmpl w:val="8CC26410"/>
    <w:lvl w:ilvl="0" w:tplc="1D76785A">
      <w:start w:val="1"/>
      <w:numFmt w:val="bullet"/>
      <w:lvlText w:val="→"/>
      <w:lvlJc w:val="left"/>
      <w:pPr>
        <w:ind w:left="1890" w:hanging="360"/>
      </w:pPr>
      <w:rPr>
        <w:rFonts w:ascii="Garamond" w:hAnsi="Garamond"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4DB842A3"/>
    <w:multiLevelType w:val="hybridMultilevel"/>
    <w:tmpl w:val="3A66D4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DF3D79"/>
    <w:multiLevelType w:val="hybridMultilevel"/>
    <w:tmpl w:val="212861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AA2133"/>
    <w:multiLevelType w:val="hybridMultilevel"/>
    <w:tmpl w:val="B22A92E0"/>
    <w:lvl w:ilvl="0" w:tplc="25D01F1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35E02"/>
    <w:multiLevelType w:val="hybridMultilevel"/>
    <w:tmpl w:val="6F12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D4E67"/>
    <w:multiLevelType w:val="hybridMultilevel"/>
    <w:tmpl w:val="D62CFF66"/>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A04AC1"/>
    <w:multiLevelType w:val="hybridMultilevel"/>
    <w:tmpl w:val="35E2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50D36"/>
    <w:multiLevelType w:val="hybridMultilevel"/>
    <w:tmpl w:val="21CCCF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A035C8"/>
    <w:multiLevelType w:val="hybridMultilevel"/>
    <w:tmpl w:val="D3E23610"/>
    <w:lvl w:ilvl="0" w:tplc="7650421E">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916F1"/>
    <w:multiLevelType w:val="hybridMultilevel"/>
    <w:tmpl w:val="B1F6982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59C2527"/>
    <w:multiLevelType w:val="hybridMultilevel"/>
    <w:tmpl w:val="122E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D0B86"/>
    <w:multiLevelType w:val="hybridMultilevel"/>
    <w:tmpl w:val="74762E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5B6353"/>
    <w:multiLevelType w:val="hybridMultilevel"/>
    <w:tmpl w:val="53FA1F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7451ED"/>
    <w:multiLevelType w:val="hybridMultilevel"/>
    <w:tmpl w:val="D22EBF10"/>
    <w:lvl w:ilvl="0" w:tplc="64104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B7273"/>
    <w:multiLevelType w:val="hybridMultilevel"/>
    <w:tmpl w:val="10061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433CC"/>
    <w:multiLevelType w:val="hybridMultilevel"/>
    <w:tmpl w:val="76AE9624"/>
    <w:lvl w:ilvl="0" w:tplc="8640B9D8">
      <w:start w:val="1"/>
      <w:numFmt w:val="upperLetter"/>
      <w:lvlText w:val="(%1)"/>
      <w:lvlJc w:val="left"/>
      <w:pPr>
        <w:ind w:left="720" w:hanging="360"/>
      </w:pPr>
      <w:rPr>
        <w:rFonts w:ascii="Garamond" w:eastAsia="Times New Roman" w:hAnsi="Garamond" w:hint="default"/>
        <w:color w:val="000000"/>
      </w:rPr>
    </w:lvl>
    <w:lvl w:ilvl="1" w:tplc="04090019">
      <w:start w:val="1"/>
      <w:numFmt w:val="lowerLetter"/>
      <w:lvlText w:val="%2."/>
      <w:lvlJc w:val="left"/>
      <w:pPr>
        <w:ind w:left="1440" w:hanging="360"/>
      </w:pPr>
    </w:lvl>
    <w:lvl w:ilvl="2" w:tplc="674E90EC">
      <w:start w:val="1"/>
      <w:numFmt w:val="upperLetter"/>
      <w:lvlText w:val="(%3)"/>
      <w:lvlJc w:val="left"/>
      <w:pPr>
        <w:ind w:left="2160" w:hanging="180"/>
      </w:pPr>
      <w:rPr>
        <w:rFonts w:ascii="Century Gothic" w:eastAsia="Times New Roman" w:hAnsi="Century Gothic"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10"/>
  </w:num>
  <w:num w:numId="4">
    <w:abstractNumId w:val="36"/>
  </w:num>
  <w:num w:numId="5">
    <w:abstractNumId w:val="15"/>
  </w:num>
  <w:num w:numId="6">
    <w:abstractNumId w:val="25"/>
  </w:num>
  <w:num w:numId="7">
    <w:abstractNumId w:val="21"/>
  </w:num>
  <w:num w:numId="8">
    <w:abstractNumId w:val="33"/>
  </w:num>
  <w:num w:numId="9">
    <w:abstractNumId w:val="38"/>
  </w:num>
  <w:num w:numId="10">
    <w:abstractNumId w:val="34"/>
  </w:num>
  <w:num w:numId="11">
    <w:abstractNumId w:val="18"/>
  </w:num>
  <w:num w:numId="12">
    <w:abstractNumId w:val="19"/>
  </w:num>
  <w:num w:numId="13">
    <w:abstractNumId w:val="16"/>
  </w:num>
  <w:num w:numId="14">
    <w:abstractNumId w:val="31"/>
  </w:num>
  <w:num w:numId="15">
    <w:abstractNumId w:val="35"/>
  </w:num>
  <w:num w:numId="16">
    <w:abstractNumId w:val="13"/>
  </w:num>
  <w:num w:numId="17">
    <w:abstractNumId w:val="7"/>
  </w:num>
  <w:num w:numId="18">
    <w:abstractNumId w:val="42"/>
  </w:num>
  <w:num w:numId="19">
    <w:abstractNumId w:val="0"/>
  </w:num>
  <w:num w:numId="20">
    <w:abstractNumId w:val="12"/>
  </w:num>
  <w:num w:numId="21">
    <w:abstractNumId w:val="4"/>
  </w:num>
  <w:num w:numId="22">
    <w:abstractNumId w:val="1"/>
  </w:num>
  <w:num w:numId="23">
    <w:abstractNumId w:val="5"/>
  </w:num>
  <w:num w:numId="24">
    <w:abstractNumId w:val="12"/>
  </w:num>
  <w:num w:numId="25">
    <w:abstractNumId w:val="8"/>
  </w:num>
  <w:num w:numId="26">
    <w:abstractNumId w:val="44"/>
  </w:num>
  <w:num w:numId="27">
    <w:abstractNumId w:val="26"/>
  </w:num>
  <w:num w:numId="28">
    <w:abstractNumId w:val="41"/>
  </w:num>
  <w:num w:numId="29">
    <w:abstractNumId w:val="17"/>
  </w:num>
  <w:num w:numId="30">
    <w:abstractNumId w:val="23"/>
  </w:num>
  <w:num w:numId="31">
    <w:abstractNumId w:val="14"/>
  </w:num>
  <w:num w:numId="32">
    <w:abstractNumId w:val="37"/>
  </w:num>
  <w:num w:numId="33">
    <w:abstractNumId w:val="12"/>
  </w:num>
  <w:num w:numId="34">
    <w:abstractNumId w:val="32"/>
  </w:num>
  <w:num w:numId="35">
    <w:abstractNumId w:val="43"/>
  </w:num>
  <w:num w:numId="36">
    <w:abstractNumId w:val="11"/>
  </w:num>
  <w:num w:numId="37">
    <w:abstractNumId w:val="27"/>
  </w:num>
  <w:num w:numId="38">
    <w:abstractNumId w:val="24"/>
  </w:num>
  <w:num w:numId="39">
    <w:abstractNumId w:val="39"/>
  </w:num>
  <w:num w:numId="40">
    <w:abstractNumId w:val="22"/>
  </w:num>
  <w:num w:numId="41">
    <w:abstractNumId w:val="28"/>
  </w:num>
  <w:num w:numId="42">
    <w:abstractNumId w:val="30"/>
  </w:num>
  <w:num w:numId="43">
    <w:abstractNumId w:val="2"/>
  </w:num>
  <w:num w:numId="44">
    <w:abstractNumId w:val="35"/>
  </w:num>
  <w:num w:numId="45">
    <w:abstractNumId w:val="20"/>
  </w:num>
  <w:num w:numId="46">
    <w:abstractNumId w:val="45"/>
  </w:num>
  <w:num w:numId="47">
    <w:abstractNumId w:val="9"/>
  </w:num>
  <w:num w:numId="48">
    <w:abstractNumId w:val="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3B"/>
    <w:rsid w:val="00000271"/>
    <w:rsid w:val="0000081C"/>
    <w:rsid w:val="000013AE"/>
    <w:rsid w:val="0000270C"/>
    <w:rsid w:val="00002B51"/>
    <w:rsid w:val="00002F08"/>
    <w:rsid w:val="0000504F"/>
    <w:rsid w:val="00005064"/>
    <w:rsid w:val="00005192"/>
    <w:rsid w:val="000052B1"/>
    <w:rsid w:val="000063A4"/>
    <w:rsid w:val="000074F1"/>
    <w:rsid w:val="00012389"/>
    <w:rsid w:val="00012391"/>
    <w:rsid w:val="0001290F"/>
    <w:rsid w:val="00014F49"/>
    <w:rsid w:val="000165F8"/>
    <w:rsid w:val="0001683B"/>
    <w:rsid w:val="00017D83"/>
    <w:rsid w:val="00020525"/>
    <w:rsid w:val="000214A8"/>
    <w:rsid w:val="000218B7"/>
    <w:rsid w:val="000220D6"/>
    <w:rsid w:val="0002343A"/>
    <w:rsid w:val="00023A95"/>
    <w:rsid w:val="00023DC4"/>
    <w:rsid w:val="00025D07"/>
    <w:rsid w:val="00026CCF"/>
    <w:rsid w:val="000277C2"/>
    <w:rsid w:val="000279FD"/>
    <w:rsid w:val="00030368"/>
    <w:rsid w:val="000310C2"/>
    <w:rsid w:val="0003230F"/>
    <w:rsid w:val="000325AC"/>
    <w:rsid w:val="000325EA"/>
    <w:rsid w:val="00035C52"/>
    <w:rsid w:val="00035CAD"/>
    <w:rsid w:val="0003731F"/>
    <w:rsid w:val="000415D5"/>
    <w:rsid w:val="0004441B"/>
    <w:rsid w:val="00044CD1"/>
    <w:rsid w:val="0004523F"/>
    <w:rsid w:val="00045530"/>
    <w:rsid w:val="0004702F"/>
    <w:rsid w:val="00047E3A"/>
    <w:rsid w:val="0005026E"/>
    <w:rsid w:val="0005045D"/>
    <w:rsid w:val="00051C0E"/>
    <w:rsid w:val="00054477"/>
    <w:rsid w:val="00054C22"/>
    <w:rsid w:val="0005527F"/>
    <w:rsid w:val="00055CD7"/>
    <w:rsid w:val="0005716C"/>
    <w:rsid w:val="00057714"/>
    <w:rsid w:val="000606A9"/>
    <w:rsid w:val="000613FA"/>
    <w:rsid w:val="00061BB0"/>
    <w:rsid w:val="00063424"/>
    <w:rsid w:val="0006485C"/>
    <w:rsid w:val="00064FC1"/>
    <w:rsid w:val="0006671E"/>
    <w:rsid w:val="00067527"/>
    <w:rsid w:val="000711DE"/>
    <w:rsid w:val="00073BB8"/>
    <w:rsid w:val="00073E30"/>
    <w:rsid w:val="00074C3A"/>
    <w:rsid w:val="00074DE1"/>
    <w:rsid w:val="0007573A"/>
    <w:rsid w:val="000757DF"/>
    <w:rsid w:val="00076ED6"/>
    <w:rsid w:val="000779EA"/>
    <w:rsid w:val="0008105D"/>
    <w:rsid w:val="000811F9"/>
    <w:rsid w:val="000812BE"/>
    <w:rsid w:val="00082DF5"/>
    <w:rsid w:val="000831E1"/>
    <w:rsid w:val="00083F51"/>
    <w:rsid w:val="000849CB"/>
    <w:rsid w:val="00084F1D"/>
    <w:rsid w:val="000851B9"/>
    <w:rsid w:val="0008552E"/>
    <w:rsid w:val="00085743"/>
    <w:rsid w:val="00085B4B"/>
    <w:rsid w:val="0008694D"/>
    <w:rsid w:val="00087671"/>
    <w:rsid w:val="00087EF4"/>
    <w:rsid w:val="00090014"/>
    <w:rsid w:val="000903A5"/>
    <w:rsid w:val="00090466"/>
    <w:rsid w:val="00090476"/>
    <w:rsid w:val="000910D1"/>
    <w:rsid w:val="000921D3"/>
    <w:rsid w:val="0009260B"/>
    <w:rsid w:val="000933CD"/>
    <w:rsid w:val="00093504"/>
    <w:rsid w:val="00093781"/>
    <w:rsid w:val="00093E46"/>
    <w:rsid w:val="0009446D"/>
    <w:rsid w:val="00095164"/>
    <w:rsid w:val="0009619A"/>
    <w:rsid w:val="00096BE2"/>
    <w:rsid w:val="000A06F9"/>
    <w:rsid w:val="000A0B86"/>
    <w:rsid w:val="000A19C4"/>
    <w:rsid w:val="000A2F03"/>
    <w:rsid w:val="000A31E4"/>
    <w:rsid w:val="000A40D4"/>
    <w:rsid w:val="000A4F8A"/>
    <w:rsid w:val="000A5B0C"/>
    <w:rsid w:val="000A6EF6"/>
    <w:rsid w:val="000B00C4"/>
    <w:rsid w:val="000B00CA"/>
    <w:rsid w:val="000B054B"/>
    <w:rsid w:val="000B0AD4"/>
    <w:rsid w:val="000B1364"/>
    <w:rsid w:val="000B2161"/>
    <w:rsid w:val="000B2ED2"/>
    <w:rsid w:val="000B3BF8"/>
    <w:rsid w:val="000B3D7F"/>
    <w:rsid w:val="000B4445"/>
    <w:rsid w:val="000B6175"/>
    <w:rsid w:val="000B618F"/>
    <w:rsid w:val="000B7886"/>
    <w:rsid w:val="000C2878"/>
    <w:rsid w:val="000C3C85"/>
    <w:rsid w:val="000C637A"/>
    <w:rsid w:val="000C7E41"/>
    <w:rsid w:val="000C7F46"/>
    <w:rsid w:val="000D1F3D"/>
    <w:rsid w:val="000D2587"/>
    <w:rsid w:val="000D2AC5"/>
    <w:rsid w:val="000D2B9F"/>
    <w:rsid w:val="000D381A"/>
    <w:rsid w:val="000D3826"/>
    <w:rsid w:val="000D38A8"/>
    <w:rsid w:val="000D38DA"/>
    <w:rsid w:val="000D5EA9"/>
    <w:rsid w:val="000D627D"/>
    <w:rsid w:val="000D7049"/>
    <w:rsid w:val="000D713F"/>
    <w:rsid w:val="000E025D"/>
    <w:rsid w:val="000E085F"/>
    <w:rsid w:val="000E0B9F"/>
    <w:rsid w:val="000E11A3"/>
    <w:rsid w:val="000E2AB4"/>
    <w:rsid w:val="000E2C2B"/>
    <w:rsid w:val="000E2E2F"/>
    <w:rsid w:val="000E38B6"/>
    <w:rsid w:val="000E488A"/>
    <w:rsid w:val="000E7451"/>
    <w:rsid w:val="000F1874"/>
    <w:rsid w:val="000F1E8E"/>
    <w:rsid w:val="000F355A"/>
    <w:rsid w:val="000F3E5A"/>
    <w:rsid w:val="000F475D"/>
    <w:rsid w:val="000F5E6C"/>
    <w:rsid w:val="000F6448"/>
    <w:rsid w:val="000F6481"/>
    <w:rsid w:val="000F681D"/>
    <w:rsid w:val="000F77A6"/>
    <w:rsid w:val="0010076F"/>
    <w:rsid w:val="0010288B"/>
    <w:rsid w:val="00104325"/>
    <w:rsid w:val="00104EF9"/>
    <w:rsid w:val="00105A35"/>
    <w:rsid w:val="0010779B"/>
    <w:rsid w:val="00110275"/>
    <w:rsid w:val="001102E6"/>
    <w:rsid w:val="00110944"/>
    <w:rsid w:val="00110C97"/>
    <w:rsid w:val="00110CDF"/>
    <w:rsid w:val="00111335"/>
    <w:rsid w:val="00111821"/>
    <w:rsid w:val="00111865"/>
    <w:rsid w:val="001135AD"/>
    <w:rsid w:val="00116A0F"/>
    <w:rsid w:val="00116C46"/>
    <w:rsid w:val="0012105C"/>
    <w:rsid w:val="001230D5"/>
    <w:rsid w:val="00123357"/>
    <w:rsid w:val="00124FE1"/>
    <w:rsid w:val="0012545E"/>
    <w:rsid w:val="00126C68"/>
    <w:rsid w:val="001271C6"/>
    <w:rsid w:val="00130D91"/>
    <w:rsid w:val="00130F8B"/>
    <w:rsid w:val="001313D1"/>
    <w:rsid w:val="00132FF6"/>
    <w:rsid w:val="00133374"/>
    <w:rsid w:val="00134B5D"/>
    <w:rsid w:val="00134BAA"/>
    <w:rsid w:val="00135343"/>
    <w:rsid w:val="00135EC3"/>
    <w:rsid w:val="0013628E"/>
    <w:rsid w:val="0013630B"/>
    <w:rsid w:val="00137F09"/>
    <w:rsid w:val="00140CDC"/>
    <w:rsid w:val="00143D8A"/>
    <w:rsid w:val="00143E01"/>
    <w:rsid w:val="00144FA2"/>
    <w:rsid w:val="00146580"/>
    <w:rsid w:val="001503E5"/>
    <w:rsid w:val="00150FB3"/>
    <w:rsid w:val="00152260"/>
    <w:rsid w:val="00153264"/>
    <w:rsid w:val="00153497"/>
    <w:rsid w:val="0015395A"/>
    <w:rsid w:val="00155661"/>
    <w:rsid w:val="00155D70"/>
    <w:rsid w:val="00157A60"/>
    <w:rsid w:val="00160724"/>
    <w:rsid w:val="00161B7E"/>
    <w:rsid w:val="00162338"/>
    <w:rsid w:val="00162681"/>
    <w:rsid w:val="001640B3"/>
    <w:rsid w:val="00164603"/>
    <w:rsid w:val="001646D3"/>
    <w:rsid w:val="00165B24"/>
    <w:rsid w:val="00167137"/>
    <w:rsid w:val="00170013"/>
    <w:rsid w:val="001701BD"/>
    <w:rsid w:val="001709DE"/>
    <w:rsid w:val="00170F81"/>
    <w:rsid w:val="00171EDD"/>
    <w:rsid w:val="00174BAF"/>
    <w:rsid w:val="0017689D"/>
    <w:rsid w:val="00177115"/>
    <w:rsid w:val="00177153"/>
    <w:rsid w:val="001778B7"/>
    <w:rsid w:val="00180640"/>
    <w:rsid w:val="0018189B"/>
    <w:rsid w:val="00182108"/>
    <w:rsid w:val="00183185"/>
    <w:rsid w:val="00186EA0"/>
    <w:rsid w:val="00186F2E"/>
    <w:rsid w:val="001905DF"/>
    <w:rsid w:val="00190A07"/>
    <w:rsid w:val="00190B11"/>
    <w:rsid w:val="00193434"/>
    <w:rsid w:val="001958C2"/>
    <w:rsid w:val="00195B52"/>
    <w:rsid w:val="00195F38"/>
    <w:rsid w:val="00196355"/>
    <w:rsid w:val="00197091"/>
    <w:rsid w:val="001A058B"/>
    <w:rsid w:val="001A086F"/>
    <w:rsid w:val="001A0930"/>
    <w:rsid w:val="001A0C53"/>
    <w:rsid w:val="001A13BB"/>
    <w:rsid w:val="001A2757"/>
    <w:rsid w:val="001A4279"/>
    <w:rsid w:val="001A43B6"/>
    <w:rsid w:val="001A4529"/>
    <w:rsid w:val="001A4C4A"/>
    <w:rsid w:val="001A57A7"/>
    <w:rsid w:val="001A667B"/>
    <w:rsid w:val="001A78DC"/>
    <w:rsid w:val="001B0090"/>
    <w:rsid w:val="001B09E8"/>
    <w:rsid w:val="001B122B"/>
    <w:rsid w:val="001B1840"/>
    <w:rsid w:val="001B1D03"/>
    <w:rsid w:val="001B2FED"/>
    <w:rsid w:val="001B5105"/>
    <w:rsid w:val="001B5549"/>
    <w:rsid w:val="001B62FE"/>
    <w:rsid w:val="001C0051"/>
    <w:rsid w:val="001C0266"/>
    <w:rsid w:val="001C0A4E"/>
    <w:rsid w:val="001C1222"/>
    <w:rsid w:val="001C29A3"/>
    <w:rsid w:val="001C2D48"/>
    <w:rsid w:val="001C3F32"/>
    <w:rsid w:val="001C6149"/>
    <w:rsid w:val="001C70D0"/>
    <w:rsid w:val="001C75E5"/>
    <w:rsid w:val="001D24CD"/>
    <w:rsid w:val="001D5ACB"/>
    <w:rsid w:val="001D5CC4"/>
    <w:rsid w:val="001D6095"/>
    <w:rsid w:val="001D6207"/>
    <w:rsid w:val="001E00AA"/>
    <w:rsid w:val="001E1382"/>
    <w:rsid w:val="001E5B88"/>
    <w:rsid w:val="001E60EF"/>
    <w:rsid w:val="001E6460"/>
    <w:rsid w:val="001E6BB6"/>
    <w:rsid w:val="001E7BFB"/>
    <w:rsid w:val="001F0DD8"/>
    <w:rsid w:val="001F20C6"/>
    <w:rsid w:val="001F22A2"/>
    <w:rsid w:val="001F23B7"/>
    <w:rsid w:val="001F379C"/>
    <w:rsid w:val="001F3FEC"/>
    <w:rsid w:val="001F48F3"/>
    <w:rsid w:val="001F5A5D"/>
    <w:rsid w:val="001F5C39"/>
    <w:rsid w:val="001F601F"/>
    <w:rsid w:val="001F682D"/>
    <w:rsid w:val="00201181"/>
    <w:rsid w:val="00203089"/>
    <w:rsid w:val="00205F4C"/>
    <w:rsid w:val="00206F8F"/>
    <w:rsid w:val="00207140"/>
    <w:rsid w:val="002071DF"/>
    <w:rsid w:val="002073D9"/>
    <w:rsid w:val="0020785F"/>
    <w:rsid w:val="00210FC3"/>
    <w:rsid w:val="0021273F"/>
    <w:rsid w:val="00212F3E"/>
    <w:rsid w:val="002133A3"/>
    <w:rsid w:val="00213B92"/>
    <w:rsid w:val="00215E07"/>
    <w:rsid w:val="00216C2B"/>
    <w:rsid w:val="00216FF0"/>
    <w:rsid w:val="00217B6F"/>
    <w:rsid w:val="00220D4B"/>
    <w:rsid w:val="002229C9"/>
    <w:rsid w:val="00222C7F"/>
    <w:rsid w:val="002235D2"/>
    <w:rsid w:val="00223617"/>
    <w:rsid w:val="002238BA"/>
    <w:rsid w:val="002263D9"/>
    <w:rsid w:val="002266E1"/>
    <w:rsid w:val="00231465"/>
    <w:rsid w:val="00233D50"/>
    <w:rsid w:val="00233DF5"/>
    <w:rsid w:val="0023665C"/>
    <w:rsid w:val="002377F5"/>
    <w:rsid w:val="00240C9A"/>
    <w:rsid w:val="00241AE8"/>
    <w:rsid w:val="00243C99"/>
    <w:rsid w:val="002444DA"/>
    <w:rsid w:val="00245903"/>
    <w:rsid w:val="002463F0"/>
    <w:rsid w:val="00246A6A"/>
    <w:rsid w:val="00247C4E"/>
    <w:rsid w:val="00251688"/>
    <w:rsid w:val="002525A7"/>
    <w:rsid w:val="00252D1D"/>
    <w:rsid w:val="002532DF"/>
    <w:rsid w:val="00253448"/>
    <w:rsid w:val="00253A51"/>
    <w:rsid w:val="00253AD6"/>
    <w:rsid w:val="00253F8C"/>
    <w:rsid w:val="002545D3"/>
    <w:rsid w:val="002554CD"/>
    <w:rsid w:val="00256CEC"/>
    <w:rsid w:val="0026094B"/>
    <w:rsid w:val="00261589"/>
    <w:rsid w:val="0026235D"/>
    <w:rsid w:val="00263106"/>
    <w:rsid w:val="002631E8"/>
    <w:rsid w:val="00263804"/>
    <w:rsid w:val="00263B6A"/>
    <w:rsid w:val="0026437B"/>
    <w:rsid w:val="002651B1"/>
    <w:rsid w:val="00265AE5"/>
    <w:rsid w:val="002679AB"/>
    <w:rsid w:val="00267BA0"/>
    <w:rsid w:val="00270D21"/>
    <w:rsid w:val="00270EB1"/>
    <w:rsid w:val="00271398"/>
    <w:rsid w:val="00271464"/>
    <w:rsid w:val="00272605"/>
    <w:rsid w:val="00272ED6"/>
    <w:rsid w:val="00274561"/>
    <w:rsid w:val="00274A34"/>
    <w:rsid w:val="0027544D"/>
    <w:rsid w:val="00277748"/>
    <w:rsid w:val="00280F26"/>
    <w:rsid w:val="00281061"/>
    <w:rsid w:val="00281308"/>
    <w:rsid w:val="0028317B"/>
    <w:rsid w:val="002831E4"/>
    <w:rsid w:val="00284240"/>
    <w:rsid w:val="0028573C"/>
    <w:rsid w:val="002872EC"/>
    <w:rsid w:val="002908DE"/>
    <w:rsid w:val="00291587"/>
    <w:rsid w:val="00292AAB"/>
    <w:rsid w:val="002953EE"/>
    <w:rsid w:val="002958A9"/>
    <w:rsid w:val="002967E9"/>
    <w:rsid w:val="00297CB0"/>
    <w:rsid w:val="002A046C"/>
    <w:rsid w:val="002A12BB"/>
    <w:rsid w:val="002A23F3"/>
    <w:rsid w:val="002A27F3"/>
    <w:rsid w:val="002A3586"/>
    <w:rsid w:val="002A39E4"/>
    <w:rsid w:val="002A4CF7"/>
    <w:rsid w:val="002A4EFF"/>
    <w:rsid w:val="002A51D0"/>
    <w:rsid w:val="002A5439"/>
    <w:rsid w:val="002A5DD2"/>
    <w:rsid w:val="002A7B04"/>
    <w:rsid w:val="002A7B77"/>
    <w:rsid w:val="002B03A4"/>
    <w:rsid w:val="002B20D7"/>
    <w:rsid w:val="002B2844"/>
    <w:rsid w:val="002B5694"/>
    <w:rsid w:val="002B6135"/>
    <w:rsid w:val="002C0222"/>
    <w:rsid w:val="002C05DB"/>
    <w:rsid w:val="002C3049"/>
    <w:rsid w:val="002C43DD"/>
    <w:rsid w:val="002C53FB"/>
    <w:rsid w:val="002C602F"/>
    <w:rsid w:val="002C651D"/>
    <w:rsid w:val="002C6B8E"/>
    <w:rsid w:val="002C6F0E"/>
    <w:rsid w:val="002D0EA1"/>
    <w:rsid w:val="002D1543"/>
    <w:rsid w:val="002D43B0"/>
    <w:rsid w:val="002E0608"/>
    <w:rsid w:val="002E1835"/>
    <w:rsid w:val="002E1C64"/>
    <w:rsid w:val="002E2DC7"/>
    <w:rsid w:val="002E3040"/>
    <w:rsid w:val="002E358B"/>
    <w:rsid w:val="002E3C5C"/>
    <w:rsid w:val="002E3D32"/>
    <w:rsid w:val="002E4498"/>
    <w:rsid w:val="002E4A03"/>
    <w:rsid w:val="002E6DE3"/>
    <w:rsid w:val="002E7580"/>
    <w:rsid w:val="002F0AF4"/>
    <w:rsid w:val="002F1B03"/>
    <w:rsid w:val="002F2EF6"/>
    <w:rsid w:val="002F328B"/>
    <w:rsid w:val="002F56F1"/>
    <w:rsid w:val="002F5A3F"/>
    <w:rsid w:val="002F6634"/>
    <w:rsid w:val="00300A8E"/>
    <w:rsid w:val="003012D2"/>
    <w:rsid w:val="0030149E"/>
    <w:rsid w:val="00302740"/>
    <w:rsid w:val="00302B07"/>
    <w:rsid w:val="00302E58"/>
    <w:rsid w:val="003036B1"/>
    <w:rsid w:val="003037F3"/>
    <w:rsid w:val="0030402C"/>
    <w:rsid w:val="003047DB"/>
    <w:rsid w:val="003052C4"/>
    <w:rsid w:val="003054B2"/>
    <w:rsid w:val="00305C7F"/>
    <w:rsid w:val="003066CB"/>
    <w:rsid w:val="00306973"/>
    <w:rsid w:val="0030778E"/>
    <w:rsid w:val="00307E6D"/>
    <w:rsid w:val="00310AB1"/>
    <w:rsid w:val="00310ED3"/>
    <w:rsid w:val="0031127C"/>
    <w:rsid w:val="003128E1"/>
    <w:rsid w:val="00313162"/>
    <w:rsid w:val="003142D8"/>
    <w:rsid w:val="003150E9"/>
    <w:rsid w:val="0031568B"/>
    <w:rsid w:val="00316792"/>
    <w:rsid w:val="0032176A"/>
    <w:rsid w:val="00324F2A"/>
    <w:rsid w:val="00325133"/>
    <w:rsid w:val="00325A5C"/>
    <w:rsid w:val="00325D9E"/>
    <w:rsid w:val="00326AD6"/>
    <w:rsid w:val="00326D43"/>
    <w:rsid w:val="00326E05"/>
    <w:rsid w:val="00327524"/>
    <w:rsid w:val="00332434"/>
    <w:rsid w:val="003325D0"/>
    <w:rsid w:val="003334CD"/>
    <w:rsid w:val="0033409A"/>
    <w:rsid w:val="003341F0"/>
    <w:rsid w:val="003353F6"/>
    <w:rsid w:val="003376D5"/>
    <w:rsid w:val="00337DA1"/>
    <w:rsid w:val="0034075E"/>
    <w:rsid w:val="003420E7"/>
    <w:rsid w:val="003424AB"/>
    <w:rsid w:val="00342A7D"/>
    <w:rsid w:val="00343C0A"/>
    <w:rsid w:val="003450A7"/>
    <w:rsid w:val="00346C79"/>
    <w:rsid w:val="00346F9B"/>
    <w:rsid w:val="003471E8"/>
    <w:rsid w:val="00347DBB"/>
    <w:rsid w:val="0035002F"/>
    <w:rsid w:val="00350E35"/>
    <w:rsid w:val="003511C8"/>
    <w:rsid w:val="00351B79"/>
    <w:rsid w:val="00352505"/>
    <w:rsid w:val="00352CCD"/>
    <w:rsid w:val="003538AC"/>
    <w:rsid w:val="00355798"/>
    <w:rsid w:val="00355A60"/>
    <w:rsid w:val="00357035"/>
    <w:rsid w:val="00357F75"/>
    <w:rsid w:val="00360337"/>
    <w:rsid w:val="003614B7"/>
    <w:rsid w:val="003647AF"/>
    <w:rsid w:val="00372216"/>
    <w:rsid w:val="00376A11"/>
    <w:rsid w:val="00377484"/>
    <w:rsid w:val="00377D09"/>
    <w:rsid w:val="003827BD"/>
    <w:rsid w:val="0038307C"/>
    <w:rsid w:val="00384546"/>
    <w:rsid w:val="00385273"/>
    <w:rsid w:val="00385C89"/>
    <w:rsid w:val="00386C03"/>
    <w:rsid w:val="0039050E"/>
    <w:rsid w:val="00390AE2"/>
    <w:rsid w:val="003911F8"/>
    <w:rsid w:val="00391471"/>
    <w:rsid w:val="0039333E"/>
    <w:rsid w:val="00394337"/>
    <w:rsid w:val="00395CBA"/>
    <w:rsid w:val="00396177"/>
    <w:rsid w:val="003A07D3"/>
    <w:rsid w:val="003A20F6"/>
    <w:rsid w:val="003A2583"/>
    <w:rsid w:val="003A2A14"/>
    <w:rsid w:val="003A45F3"/>
    <w:rsid w:val="003A599F"/>
    <w:rsid w:val="003A7DBF"/>
    <w:rsid w:val="003B021D"/>
    <w:rsid w:val="003B1F04"/>
    <w:rsid w:val="003B44E3"/>
    <w:rsid w:val="003B48B2"/>
    <w:rsid w:val="003C06DA"/>
    <w:rsid w:val="003C3B0B"/>
    <w:rsid w:val="003C4DC3"/>
    <w:rsid w:val="003D1369"/>
    <w:rsid w:val="003D2153"/>
    <w:rsid w:val="003D3CA3"/>
    <w:rsid w:val="003D4259"/>
    <w:rsid w:val="003E23D8"/>
    <w:rsid w:val="003E2552"/>
    <w:rsid w:val="003E41FC"/>
    <w:rsid w:val="003E46E9"/>
    <w:rsid w:val="003E4C1C"/>
    <w:rsid w:val="003E5475"/>
    <w:rsid w:val="003E5754"/>
    <w:rsid w:val="003E59E7"/>
    <w:rsid w:val="003E6BB7"/>
    <w:rsid w:val="003E7C8F"/>
    <w:rsid w:val="003F0B7C"/>
    <w:rsid w:val="003F1432"/>
    <w:rsid w:val="003F1C3C"/>
    <w:rsid w:val="003F34E7"/>
    <w:rsid w:val="003F4939"/>
    <w:rsid w:val="003F4FF3"/>
    <w:rsid w:val="003F5830"/>
    <w:rsid w:val="003F62C3"/>
    <w:rsid w:val="003F6464"/>
    <w:rsid w:val="00400E80"/>
    <w:rsid w:val="004010C0"/>
    <w:rsid w:val="00403A01"/>
    <w:rsid w:val="00403B02"/>
    <w:rsid w:val="00405112"/>
    <w:rsid w:val="004057EE"/>
    <w:rsid w:val="00405806"/>
    <w:rsid w:val="00405FA5"/>
    <w:rsid w:val="00407916"/>
    <w:rsid w:val="004104DC"/>
    <w:rsid w:val="0041064B"/>
    <w:rsid w:val="004107DE"/>
    <w:rsid w:val="00410BFA"/>
    <w:rsid w:val="0041105E"/>
    <w:rsid w:val="00411EF6"/>
    <w:rsid w:val="00411F65"/>
    <w:rsid w:val="00412765"/>
    <w:rsid w:val="0041467E"/>
    <w:rsid w:val="00414C91"/>
    <w:rsid w:val="00414CFF"/>
    <w:rsid w:val="00417B08"/>
    <w:rsid w:val="0042189A"/>
    <w:rsid w:val="00421F04"/>
    <w:rsid w:val="00422727"/>
    <w:rsid w:val="004237E2"/>
    <w:rsid w:val="00423CAC"/>
    <w:rsid w:val="00424131"/>
    <w:rsid w:val="00425070"/>
    <w:rsid w:val="00425370"/>
    <w:rsid w:val="00425470"/>
    <w:rsid w:val="00425558"/>
    <w:rsid w:val="004302DF"/>
    <w:rsid w:val="00430C42"/>
    <w:rsid w:val="00430D25"/>
    <w:rsid w:val="00431C23"/>
    <w:rsid w:val="0043378A"/>
    <w:rsid w:val="00434416"/>
    <w:rsid w:val="00434A78"/>
    <w:rsid w:val="00434EE2"/>
    <w:rsid w:val="00436CB4"/>
    <w:rsid w:val="00437A11"/>
    <w:rsid w:val="00437DF2"/>
    <w:rsid w:val="00437E49"/>
    <w:rsid w:val="004402A7"/>
    <w:rsid w:val="004406CB"/>
    <w:rsid w:val="0044136F"/>
    <w:rsid w:val="00441685"/>
    <w:rsid w:val="00442F36"/>
    <w:rsid w:val="004435AC"/>
    <w:rsid w:val="00443ADF"/>
    <w:rsid w:val="00444EA4"/>
    <w:rsid w:val="004471AF"/>
    <w:rsid w:val="004474CC"/>
    <w:rsid w:val="004507F9"/>
    <w:rsid w:val="00451D39"/>
    <w:rsid w:val="0045258D"/>
    <w:rsid w:val="00452C00"/>
    <w:rsid w:val="00453BD8"/>
    <w:rsid w:val="00454E93"/>
    <w:rsid w:val="004564D5"/>
    <w:rsid w:val="00456DDE"/>
    <w:rsid w:val="004600A0"/>
    <w:rsid w:val="00460B4E"/>
    <w:rsid w:val="004615AB"/>
    <w:rsid w:val="00462168"/>
    <w:rsid w:val="00462393"/>
    <w:rsid w:val="004633C5"/>
    <w:rsid w:val="00463C61"/>
    <w:rsid w:val="00464279"/>
    <w:rsid w:val="00464978"/>
    <w:rsid w:val="00464C57"/>
    <w:rsid w:val="00471842"/>
    <w:rsid w:val="00471B61"/>
    <w:rsid w:val="0047328D"/>
    <w:rsid w:val="004734EB"/>
    <w:rsid w:val="00473C2E"/>
    <w:rsid w:val="00473C7B"/>
    <w:rsid w:val="00481848"/>
    <w:rsid w:val="00482879"/>
    <w:rsid w:val="0048343C"/>
    <w:rsid w:val="0048403B"/>
    <w:rsid w:val="0048406C"/>
    <w:rsid w:val="00484A1E"/>
    <w:rsid w:val="00484D65"/>
    <w:rsid w:val="004859D5"/>
    <w:rsid w:val="00487741"/>
    <w:rsid w:val="004930A8"/>
    <w:rsid w:val="00495769"/>
    <w:rsid w:val="004A0FBC"/>
    <w:rsid w:val="004A1020"/>
    <w:rsid w:val="004A118B"/>
    <w:rsid w:val="004A11A2"/>
    <w:rsid w:val="004A1349"/>
    <w:rsid w:val="004A1416"/>
    <w:rsid w:val="004A34C2"/>
    <w:rsid w:val="004A38B4"/>
    <w:rsid w:val="004A4520"/>
    <w:rsid w:val="004A4C52"/>
    <w:rsid w:val="004A5647"/>
    <w:rsid w:val="004A58A7"/>
    <w:rsid w:val="004A59FF"/>
    <w:rsid w:val="004A7386"/>
    <w:rsid w:val="004B16B4"/>
    <w:rsid w:val="004B215D"/>
    <w:rsid w:val="004B3747"/>
    <w:rsid w:val="004B3E9A"/>
    <w:rsid w:val="004B578D"/>
    <w:rsid w:val="004B58A6"/>
    <w:rsid w:val="004B68F4"/>
    <w:rsid w:val="004B7F9A"/>
    <w:rsid w:val="004C0166"/>
    <w:rsid w:val="004C10AA"/>
    <w:rsid w:val="004C231D"/>
    <w:rsid w:val="004C3E9F"/>
    <w:rsid w:val="004C4070"/>
    <w:rsid w:val="004C4886"/>
    <w:rsid w:val="004C7050"/>
    <w:rsid w:val="004C7B99"/>
    <w:rsid w:val="004D0A27"/>
    <w:rsid w:val="004D0C51"/>
    <w:rsid w:val="004D1893"/>
    <w:rsid w:val="004D2506"/>
    <w:rsid w:val="004D291E"/>
    <w:rsid w:val="004D4B9C"/>
    <w:rsid w:val="004D58AB"/>
    <w:rsid w:val="004D6FA6"/>
    <w:rsid w:val="004D7BF8"/>
    <w:rsid w:val="004E035F"/>
    <w:rsid w:val="004E0F96"/>
    <w:rsid w:val="004E115D"/>
    <w:rsid w:val="004E12F4"/>
    <w:rsid w:val="004E20F0"/>
    <w:rsid w:val="004E2427"/>
    <w:rsid w:val="004E410E"/>
    <w:rsid w:val="004E433C"/>
    <w:rsid w:val="004E4408"/>
    <w:rsid w:val="004E482A"/>
    <w:rsid w:val="004E552C"/>
    <w:rsid w:val="004E5C11"/>
    <w:rsid w:val="004E5E50"/>
    <w:rsid w:val="004E610F"/>
    <w:rsid w:val="004E7167"/>
    <w:rsid w:val="004F1F02"/>
    <w:rsid w:val="004F1F8D"/>
    <w:rsid w:val="004F2A4C"/>
    <w:rsid w:val="004F2EE9"/>
    <w:rsid w:val="004F371A"/>
    <w:rsid w:val="005004CC"/>
    <w:rsid w:val="0050126A"/>
    <w:rsid w:val="00501F29"/>
    <w:rsid w:val="0050240F"/>
    <w:rsid w:val="00502433"/>
    <w:rsid w:val="00503138"/>
    <w:rsid w:val="0050558C"/>
    <w:rsid w:val="00506176"/>
    <w:rsid w:val="0050668A"/>
    <w:rsid w:val="0050671F"/>
    <w:rsid w:val="0050695C"/>
    <w:rsid w:val="00511A61"/>
    <w:rsid w:val="00511C55"/>
    <w:rsid w:val="00513A79"/>
    <w:rsid w:val="00515473"/>
    <w:rsid w:val="005157AF"/>
    <w:rsid w:val="005168FE"/>
    <w:rsid w:val="00517784"/>
    <w:rsid w:val="0051789F"/>
    <w:rsid w:val="00517EAD"/>
    <w:rsid w:val="0052141E"/>
    <w:rsid w:val="00521564"/>
    <w:rsid w:val="00521FFA"/>
    <w:rsid w:val="00522E1B"/>
    <w:rsid w:val="00525C32"/>
    <w:rsid w:val="0052673D"/>
    <w:rsid w:val="005267AA"/>
    <w:rsid w:val="005272AD"/>
    <w:rsid w:val="005320B4"/>
    <w:rsid w:val="00532BAA"/>
    <w:rsid w:val="005330B2"/>
    <w:rsid w:val="0053331E"/>
    <w:rsid w:val="0053559C"/>
    <w:rsid w:val="00535784"/>
    <w:rsid w:val="00535BA8"/>
    <w:rsid w:val="00535FAD"/>
    <w:rsid w:val="005369EE"/>
    <w:rsid w:val="00537280"/>
    <w:rsid w:val="00540DA2"/>
    <w:rsid w:val="005437D1"/>
    <w:rsid w:val="00545BCB"/>
    <w:rsid w:val="005461FC"/>
    <w:rsid w:val="0054706C"/>
    <w:rsid w:val="0054762C"/>
    <w:rsid w:val="005478D9"/>
    <w:rsid w:val="00552E85"/>
    <w:rsid w:val="005542A5"/>
    <w:rsid w:val="005559B3"/>
    <w:rsid w:val="0055686B"/>
    <w:rsid w:val="00561012"/>
    <w:rsid w:val="005636E8"/>
    <w:rsid w:val="0056450D"/>
    <w:rsid w:val="00565248"/>
    <w:rsid w:val="005667DB"/>
    <w:rsid w:val="00566BDF"/>
    <w:rsid w:val="00566DEF"/>
    <w:rsid w:val="00570438"/>
    <w:rsid w:val="00570CF3"/>
    <w:rsid w:val="00570D5A"/>
    <w:rsid w:val="005711ED"/>
    <w:rsid w:val="00571CF2"/>
    <w:rsid w:val="005731F9"/>
    <w:rsid w:val="00573A45"/>
    <w:rsid w:val="00574C9F"/>
    <w:rsid w:val="005759F1"/>
    <w:rsid w:val="00575E6E"/>
    <w:rsid w:val="00582FAE"/>
    <w:rsid w:val="00583934"/>
    <w:rsid w:val="00583B04"/>
    <w:rsid w:val="005858F2"/>
    <w:rsid w:val="00586DA6"/>
    <w:rsid w:val="00586F5C"/>
    <w:rsid w:val="005903A0"/>
    <w:rsid w:val="00590D5E"/>
    <w:rsid w:val="005916A6"/>
    <w:rsid w:val="005928EB"/>
    <w:rsid w:val="00594F17"/>
    <w:rsid w:val="005952CB"/>
    <w:rsid w:val="00595AC4"/>
    <w:rsid w:val="005962B4"/>
    <w:rsid w:val="00596411"/>
    <w:rsid w:val="00596AE0"/>
    <w:rsid w:val="005977C5"/>
    <w:rsid w:val="0059786A"/>
    <w:rsid w:val="005A0134"/>
    <w:rsid w:val="005A0C02"/>
    <w:rsid w:val="005A1C1F"/>
    <w:rsid w:val="005A24B3"/>
    <w:rsid w:val="005A4EE5"/>
    <w:rsid w:val="005A5030"/>
    <w:rsid w:val="005A69DA"/>
    <w:rsid w:val="005A6DD4"/>
    <w:rsid w:val="005A7B60"/>
    <w:rsid w:val="005B040A"/>
    <w:rsid w:val="005B0980"/>
    <w:rsid w:val="005B1FAA"/>
    <w:rsid w:val="005B2197"/>
    <w:rsid w:val="005B2403"/>
    <w:rsid w:val="005B3445"/>
    <w:rsid w:val="005B3937"/>
    <w:rsid w:val="005B4BAB"/>
    <w:rsid w:val="005B5D45"/>
    <w:rsid w:val="005B7DF6"/>
    <w:rsid w:val="005C0375"/>
    <w:rsid w:val="005C5C67"/>
    <w:rsid w:val="005D01C9"/>
    <w:rsid w:val="005D11F2"/>
    <w:rsid w:val="005D1549"/>
    <w:rsid w:val="005D18FD"/>
    <w:rsid w:val="005D1E12"/>
    <w:rsid w:val="005D2564"/>
    <w:rsid w:val="005D2835"/>
    <w:rsid w:val="005D3C25"/>
    <w:rsid w:val="005D3C77"/>
    <w:rsid w:val="005D3C87"/>
    <w:rsid w:val="005D4D02"/>
    <w:rsid w:val="005E149A"/>
    <w:rsid w:val="005E21CD"/>
    <w:rsid w:val="005E25DB"/>
    <w:rsid w:val="005E36F9"/>
    <w:rsid w:val="005E401A"/>
    <w:rsid w:val="005E4122"/>
    <w:rsid w:val="005E44B4"/>
    <w:rsid w:val="005E4B06"/>
    <w:rsid w:val="005E5F00"/>
    <w:rsid w:val="005E5F39"/>
    <w:rsid w:val="005E5F81"/>
    <w:rsid w:val="005E64A8"/>
    <w:rsid w:val="005E76F1"/>
    <w:rsid w:val="005F0E1F"/>
    <w:rsid w:val="005F1C1B"/>
    <w:rsid w:val="005F2F63"/>
    <w:rsid w:val="005F3D92"/>
    <w:rsid w:val="005F4E99"/>
    <w:rsid w:val="005F73B0"/>
    <w:rsid w:val="00602480"/>
    <w:rsid w:val="00602590"/>
    <w:rsid w:val="0060281E"/>
    <w:rsid w:val="00603C71"/>
    <w:rsid w:val="006040BC"/>
    <w:rsid w:val="00604E1D"/>
    <w:rsid w:val="00605310"/>
    <w:rsid w:val="00606A94"/>
    <w:rsid w:val="00610137"/>
    <w:rsid w:val="00610226"/>
    <w:rsid w:val="00612855"/>
    <w:rsid w:val="006128FC"/>
    <w:rsid w:val="00616003"/>
    <w:rsid w:val="00616F3C"/>
    <w:rsid w:val="00620090"/>
    <w:rsid w:val="00620C46"/>
    <w:rsid w:val="00620FBD"/>
    <w:rsid w:val="006223DC"/>
    <w:rsid w:val="00622B6A"/>
    <w:rsid w:val="00623E30"/>
    <w:rsid w:val="00625712"/>
    <w:rsid w:val="00626404"/>
    <w:rsid w:val="00626A69"/>
    <w:rsid w:val="00626CA0"/>
    <w:rsid w:val="006274F7"/>
    <w:rsid w:val="00630CF6"/>
    <w:rsid w:val="00631600"/>
    <w:rsid w:val="00632E6A"/>
    <w:rsid w:val="006346E1"/>
    <w:rsid w:val="00634BCC"/>
    <w:rsid w:val="00635DB0"/>
    <w:rsid w:val="00635ED3"/>
    <w:rsid w:val="006371B9"/>
    <w:rsid w:val="0063754A"/>
    <w:rsid w:val="00637D84"/>
    <w:rsid w:val="00637DF8"/>
    <w:rsid w:val="006412BE"/>
    <w:rsid w:val="006417FF"/>
    <w:rsid w:val="00642C19"/>
    <w:rsid w:val="00642CC8"/>
    <w:rsid w:val="0064480C"/>
    <w:rsid w:val="00646308"/>
    <w:rsid w:val="00647782"/>
    <w:rsid w:val="0065017A"/>
    <w:rsid w:val="00655332"/>
    <w:rsid w:val="006570A8"/>
    <w:rsid w:val="00661E60"/>
    <w:rsid w:val="006646AE"/>
    <w:rsid w:val="00664EFB"/>
    <w:rsid w:val="00665106"/>
    <w:rsid w:val="0066658E"/>
    <w:rsid w:val="00666B26"/>
    <w:rsid w:val="006708CE"/>
    <w:rsid w:val="00670AE1"/>
    <w:rsid w:val="0067184D"/>
    <w:rsid w:val="006719BE"/>
    <w:rsid w:val="00673083"/>
    <w:rsid w:val="00673BEC"/>
    <w:rsid w:val="00674298"/>
    <w:rsid w:val="00675BB2"/>
    <w:rsid w:val="006761E0"/>
    <w:rsid w:val="0067659E"/>
    <w:rsid w:val="0068023D"/>
    <w:rsid w:val="00680CE9"/>
    <w:rsid w:val="00682A9B"/>
    <w:rsid w:val="006851E9"/>
    <w:rsid w:val="00686FFE"/>
    <w:rsid w:val="006901A0"/>
    <w:rsid w:val="00692D8B"/>
    <w:rsid w:val="006937A4"/>
    <w:rsid w:val="00693F4D"/>
    <w:rsid w:val="006962BC"/>
    <w:rsid w:val="0069686A"/>
    <w:rsid w:val="0069744F"/>
    <w:rsid w:val="006A054F"/>
    <w:rsid w:val="006A2956"/>
    <w:rsid w:val="006A473E"/>
    <w:rsid w:val="006A7DDB"/>
    <w:rsid w:val="006A7E1E"/>
    <w:rsid w:val="006A7FEB"/>
    <w:rsid w:val="006B10CE"/>
    <w:rsid w:val="006B1B43"/>
    <w:rsid w:val="006B1EFF"/>
    <w:rsid w:val="006B26F7"/>
    <w:rsid w:val="006B357A"/>
    <w:rsid w:val="006B49C2"/>
    <w:rsid w:val="006B4E17"/>
    <w:rsid w:val="006B68B2"/>
    <w:rsid w:val="006B7DA1"/>
    <w:rsid w:val="006C2C33"/>
    <w:rsid w:val="006C4143"/>
    <w:rsid w:val="006C623F"/>
    <w:rsid w:val="006C67AB"/>
    <w:rsid w:val="006C7255"/>
    <w:rsid w:val="006C73D5"/>
    <w:rsid w:val="006C78EC"/>
    <w:rsid w:val="006C7B94"/>
    <w:rsid w:val="006D0B22"/>
    <w:rsid w:val="006D36A7"/>
    <w:rsid w:val="006D3B9F"/>
    <w:rsid w:val="006D45C2"/>
    <w:rsid w:val="006D492E"/>
    <w:rsid w:val="006D4BE4"/>
    <w:rsid w:val="006D4F0A"/>
    <w:rsid w:val="006D5145"/>
    <w:rsid w:val="006E08E1"/>
    <w:rsid w:val="006E0A8D"/>
    <w:rsid w:val="006E0C6F"/>
    <w:rsid w:val="006E1589"/>
    <w:rsid w:val="006E1B72"/>
    <w:rsid w:val="006E1FDB"/>
    <w:rsid w:val="006E279E"/>
    <w:rsid w:val="006E4AE0"/>
    <w:rsid w:val="006E4AF1"/>
    <w:rsid w:val="006E780A"/>
    <w:rsid w:val="006F10CC"/>
    <w:rsid w:val="006F163E"/>
    <w:rsid w:val="006F209B"/>
    <w:rsid w:val="006F22B1"/>
    <w:rsid w:val="006F4701"/>
    <w:rsid w:val="006F53B2"/>
    <w:rsid w:val="006F5D06"/>
    <w:rsid w:val="006F66E2"/>
    <w:rsid w:val="006F7314"/>
    <w:rsid w:val="007021D1"/>
    <w:rsid w:val="0070279F"/>
    <w:rsid w:val="0070413E"/>
    <w:rsid w:val="0070541D"/>
    <w:rsid w:val="007064A3"/>
    <w:rsid w:val="0070791E"/>
    <w:rsid w:val="00707ADA"/>
    <w:rsid w:val="00710057"/>
    <w:rsid w:val="00710545"/>
    <w:rsid w:val="00712040"/>
    <w:rsid w:val="00712F6D"/>
    <w:rsid w:val="0071327A"/>
    <w:rsid w:val="00713B02"/>
    <w:rsid w:val="00714431"/>
    <w:rsid w:val="00714C16"/>
    <w:rsid w:val="00714E2A"/>
    <w:rsid w:val="00716686"/>
    <w:rsid w:val="00716E41"/>
    <w:rsid w:val="0071742A"/>
    <w:rsid w:val="00720405"/>
    <w:rsid w:val="007213CC"/>
    <w:rsid w:val="00721578"/>
    <w:rsid w:val="00722FAA"/>
    <w:rsid w:val="007231BD"/>
    <w:rsid w:val="00723721"/>
    <w:rsid w:val="0072408B"/>
    <w:rsid w:val="00724A1E"/>
    <w:rsid w:val="007302A4"/>
    <w:rsid w:val="0073065E"/>
    <w:rsid w:val="00731E5A"/>
    <w:rsid w:val="00733976"/>
    <w:rsid w:val="00734FE9"/>
    <w:rsid w:val="00735906"/>
    <w:rsid w:val="00736A5D"/>
    <w:rsid w:val="00736AA1"/>
    <w:rsid w:val="00737511"/>
    <w:rsid w:val="007403D9"/>
    <w:rsid w:val="007454F5"/>
    <w:rsid w:val="00746E45"/>
    <w:rsid w:val="007511CA"/>
    <w:rsid w:val="00751AC2"/>
    <w:rsid w:val="00752D20"/>
    <w:rsid w:val="007540DD"/>
    <w:rsid w:val="007558DE"/>
    <w:rsid w:val="007573F1"/>
    <w:rsid w:val="00760FA2"/>
    <w:rsid w:val="00761676"/>
    <w:rsid w:val="00762341"/>
    <w:rsid w:val="00762CDA"/>
    <w:rsid w:val="007632BB"/>
    <w:rsid w:val="00766CF1"/>
    <w:rsid w:val="00770B76"/>
    <w:rsid w:val="0077286F"/>
    <w:rsid w:val="007748B9"/>
    <w:rsid w:val="007753C7"/>
    <w:rsid w:val="007774BD"/>
    <w:rsid w:val="00781BB5"/>
    <w:rsid w:val="00781CEA"/>
    <w:rsid w:val="0078218E"/>
    <w:rsid w:val="00782672"/>
    <w:rsid w:val="00782FBD"/>
    <w:rsid w:val="007830BE"/>
    <w:rsid w:val="00784D36"/>
    <w:rsid w:val="00785175"/>
    <w:rsid w:val="00786673"/>
    <w:rsid w:val="00786B3C"/>
    <w:rsid w:val="00786E70"/>
    <w:rsid w:val="007872CA"/>
    <w:rsid w:val="00787CAE"/>
    <w:rsid w:val="00787CB1"/>
    <w:rsid w:val="00790DAB"/>
    <w:rsid w:val="007922C2"/>
    <w:rsid w:val="007923E1"/>
    <w:rsid w:val="00792E92"/>
    <w:rsid w:val="00793584"/>
    <w:rsid w:val="00793D29"/>
    <w:rsid w:val="007964A0"/>
    <w:rsid w:val="007A0543"/>
    <w:rsid w:val="007A2C13"/>
    <w:rsid w:val="007A3197"/>
    <w:rsid w:val="007A35C7"/>
    <w:rsid w:val="007A3E73"/>
    <w:rsid w:val="007A4D29"/>
    <w:rsid w:val="007B4D4D"/>
    <w:rsid w:val="007B50B7"/>
    <w:rsid w:val="007B55FF"/>
    <w:rsid w:val="007B5904"/>
    <w:rsid w:val="007B5941"/>
    <w:rsid w:val="007B683C"/>
    <w:rsid w:val="007B7278"/>
    <w:rsid w:val="007C05B0"/>
    <w:rsid w:val="007C110B"/>
    <w:rsid w:val="007C122F"/>
    <w:rsid w:val="007C1286"/>
    <w:rsid w:val="007C5BAA"/>
    <w:rsid w:val="007C683A"/>
    <w:rsid w:val="007C7929"/>
    <w:rsid w:val="007D090D"/>
    <w:rsid w:val="007D0BEF"/>
    <w:rsid w:val="007D0E20"/>
    <w:rsid w:val="007D26CF"/>
    <w:rsid w:val="007D3F6E"/>
    <w:rsid w:val="007D49F1"/>
    <w:rsid w:val="007D4BB5"/>
    <w:rsid w:val="007D534E"/>
    <w:rsid w:val="007D71C9"/>
    <w:rsid w:val="007D76AF"/>
    <w:rsid w:val="007E0807"/>
    <w:rsid w:val="007E0BAB"/>
    <w:rsid w:val="007E11FD"/>
    <w:rsid w:val="007E21BE"/>
    <w:rsid w:val="007E38DC"/>
    <w:rsid w:val="007E48AC"/>
    <w:rsid w:val="007E50B8"/>
    <w:rsid w:val="007E5B74"/>
    <w:rsid w:val="007E5E8E"/>
    <w:rsid w:val="007E7054"/>
    <w:rsid w:val="007F057F"/>
    <w:rsid w:val="007F1120"/>
    <w:rsid w:val="007F3084"/>
    <w:rsid w:val="007F3C0C"/>
    <w:rsid w:val="007F3CFC"/>
    <w:rsid w:val="007F3F16"/>
    <w:rsid w:val="007F4222"/>
    <w:rsid w:val="007F7ADB"/>
    <w:rsid w:val="00800091"/>
    <w:rsid w:val="0080023E"/>
    <w:rsid w:val="00800322"/>
    <w:rsid w:val="0080166C"/>
    <w:rsid w:val="00801DB9"/>
    <w:rsid w:val="00803405"/>
    <w:rsid w:val="00803CAA"/>
    <w:rsid w:val="0080473D"/>
    <w:rsid w:val="0080505C"/>
    <w:rsid w:val="008055CF"/>
    <w:rsid w:val="008073C4"/>
    <w:rsid w:val="008100A2"/>
    <w:rsid w:val="008106E5"/>
    <w:rsid w:val="008107FA"/>
    <w:rsid w:val="00810A22"/>
    <w:rsid w:val="008122F9"/>
    <w:rsid w:val="00813BE7"/>
    <w:rsid w:val="0081510C"/>
    <w:rsid w:val="00815425"/>
    <w:rsid w:val="00815EF2"/>
    <w:rsid w:val="0081609C"/>
    <w:rsid w:val="008169D4"/>
    <w:rsid w:val="00817AE8"/>
    <w:rsid w:val="008226EE"/>
    <w:rsid w:val="00822D9D"/>
    <w:rsid w:val="00823899"/>
    <w:rsid w:val="00823972"/>
    <w:rsid w:val="008249A9"/>
    <w:rsid w:val="00824FC9"/>
    <w:rsid w:val="008258A8"/>
    <w:rsid w:val="00826CE7"/>
    <w:rsid w:val="00830817"/>
    <w:rsid w:val="00831025"/>
    <w:rsid w:val="008323A6"/>
    <w:rsid w:val="00832A21"/>
    <w:rsid w:val="00833CC5"/>
    <w:rsid w:val="008347BF"/>
    <w:rsid w:val="008350D3"/>
    <w:rsid w:val="0083516D"/>
    <w:rsid w:val="00835732"/>
    <w:rsid w:val="0083597F"/>
    <w:rsid w:val="0083753D"/>
    <w:rsid w:val="00841447"/>
    <w:rsid w:val="008416BD"/>
    <w:rsid w:val="0084383B"/>
    <w:rsid w:val="00843DD1"/>
    <w:rsid w:val="00844376"/>
    <w:rsid w:val="008459C1"/>
    <w:rsid w:val="00845AA1"/>
    <w:rsid w:val="00846C34"/>
    <w:rsid w:val="00846EAF"/>
    <w:rsid w:val="0084796E"/>
    <w:rsid w:val="00847C02"/>
    <w:rsid w:val="00847EA6"/>
    <w:rsid w:val="008556AC"/>
    <w:rsid w:val="00855845"/>
    <w:rsid w:val="00855A61"/>
    <w:rsid w:val="00855C71"/>
    <w:rsid w:val="008567F4"/>
    <w:rsid w:val="008606B9"/>
    <w:rsid w:val="0086099C"/>
    <w:rsid w:val="00860B1C"/>
    <w:rsid w:val="00861119"/>
    <w:rsid w:val="00862183"/>
    <w:rsid w:val="00863BE1"/>
    <w:rsid w:val="00863EF3"/>
    <w:rsid w:val="00866C97"/>
    <w:rsid w:val="00866E89"/>
    <w:rsid w:val="008676BC"/>
    <w:rsid w:val="00871BC6"/>
    <w:rsid w:val="00874D6D"/>
    <w:rsid w:val="00875A86"/>
    <w:rsid w:val="00876909"/>
    <w:rsid w:val="008776CE"/>
    <w:rsid w:val="0088039D"/>
    <w:rsid w:val="0088102C"/>
    <w:rsid w:val="00881DBE"/>
    <w:rsid w:val="00882E6A"/>
    <w:rsid w:val="008840C4"/>
    <w:rsid w:val="00884A71"/>
    <w:rsid w:val="00884A7A"/>
    <w:rsid w:val="00884DB2"/>
    <w:rsid w:val="00885032"/>
    <w:rsid w:val="00887031"/>
    <w:rsid w:val="00887EEC"/>
    <w:rsid w:val="008911CE"/>
    <w:rsid w:val="008921BD"/>
    <w:rsid w:val="008929F5"/>
    <w:rsid w:val="00892C05"/>
    <w:rsid w:val="0089406E"/>
    <w:rsid w:val="00897F8B"/>
    <w:rsid w:val="008A0D7C"/>
    <w:rsid w:val="008A1979"/>
    <w:rsid w:val="008A220C"/>
    <w:rsid w:val="008A25C1"/>
    <w:rsid w:val="008A2652"/>
    <w:rsid w:val="008A2FA7"/>
    <w:rsid w:val="008A3C85"/>
    <w:rsid w:val="008A51DC"/>
    <w:rsid w:val="008A5C9E"/>
    <w:rsid w:val="008A77FA"/>
    <w:rsid w:val="008A7B16"/>
    <w:rsid w:val="008B12F7"/>
    <w:rsid w:val="008B2007"/>
    <w:rsid w:val="008B267F"/>
    <w:rsid w:val="008B331A"/>
    <w:rsid w:val="008B501C"/>
    <w:rsid w:val="008C1795"/>
    <w:rsid w:val="008C18FC"/>
    <w:rsid w:val="008C2066"/>
    <w:rsid w:val="008C2761"/>
    <w:rsid w:val="008C2BA3"/>
    <w:rsid w:val="008C38AA"/>
    <w:rsid w:val="008C40EF"/>
    <w:rsid w:val="008C480E"/>
    <w:rsid w:val="008C49A2"/>
    <w:rsid w:val="008C5212"/>
    <w:rsid w:val="008D0789"/>
    <w:rsid w:val="008D097C"/>
    <w:rsid w:val="008D1108"/>
    <w:rsid w:val="008D2E5F"/>
    <w:rsid w:val="008D434B"/>
    <w:rsid w:val="008D645B"/>
    <w:rsid w:val="008D6914"/>
    <w:rsid w:val="008D6C4A"/>
    <w:rsid w:val="008E0DE9"/>
    <w:rsid w:val="008E0FF5"/>
    <w:rsid w:val="008E188E"/>
    <w:rsid w:val="008E48C3"/>
    <w:rsid w:val="008E6A9B"/>
    <w:rsid w:val="008F04CB"/>
    <w:rsid w:val="008F1052"/>
    <w:rsid w:val="008F1DE7"/>
    <w:rsid w:val="008F3AE2"/>
    <w:rsid w:val="008F48BB"/>
    <w:rsid w:val="008F5537"/>
    <w:rsid w:val="008F5C5B"/>
    <w:rsid w:val="008F5FC6"/>
    <w:rsid w:val="008F7299"/>
    <w:rsid w:val="008F7EDA"/>
    <w:rsid w:val="009000EC"/>
    <w:rsid w:val="00900320"/>
    <w:rsid w:val="00901833"/>
    <w:rsid w:val="009018A6"/>
    <w:rsid w:val="009034C7"/>
    <w:rsid w:val="00906321"/>
    <w:rsid w:val="0090668F"/>
    <w:rsid w:val="009123C8"/>
    <w:rsid w:val="009123FC"/>
    <w:rsid w:val="00912C18"/>
    <w:rsid w:val="00912D27"/>
    <w:rsid w:val="0091768E"/>
    <w:rsid w:val="00920872"/>
    <w:rsid w:val="00921BA9"/>
    <w:rsid w:val="00922D8D"/>
    <w:rsid w:val="00922DB2"/>
    <w:rsid w:val="00923154"/>
    <w:rsid w:val="0092439A"/>
    <w:rsid w:val="00924838"/>
    <w:rsid w:val="00924AFD"/>
    <w:rsid w:val="00924E72"/>
    <w:rsid w:val="00925763"/>
    <w:rsid w:val="00926070"/>
    <w:rsid w:val="00926DF1"/>
    <w:rsid w:val="00931146"/>
    <w:rsid w:val="009326B6"/>
    <w:rsid w:val="00932AA0"/>
    <w:rsid w:val="00933830"/>
    <w:rsid w:val="009338BA"/>
    <w:rsid w:val="0093469D"/>
    <w:rsid w:val="00935470"/>
    <w:rsid w:val="00936D36"/>
    <w:rsid w:val="00937C88"/>
    <w:rsid w:val="00941270"/>
    <w:rsid w:val="00941635"/>
    <w:rsid w:val="00941927"/>
    <w:rsid w:val="009430BF"/>
    <w:rsid w:val="00943877"/>
    <w:rsid w:val="0094422E"/>
    <w:rsid w:val="009468DA"/>
    <w:rsid w:val="00946EFF"/>
    <w:rsid w:val="00950652"/>
    <w:rsid w:val="009512B0"/>
    <w:rsid w:val="0095186B"/>
    <w:rsid w:val="00953DAA"/>
    <w:rsid w:val="0095527F"/>
    <w:rsid w:val="00957A52"/>
    <w:rsid w:val="00960AC0"/>
    <w:rsid w:val="00962BEE"/>
    <w:rsid w:val="00964A81"/>
    <w:rsid w:val="00966323"/>
    <w:rsid w:val="00967E83"/>
    <w:rsid w:val="00967FF4"/>
    <w:rsid w:val="0097028F"/>
    <w:rsid w:val="009720C3"/>
    <w:rsid w:val="009727DA"/>
    <w:rsid w:val="00972DFB"/>
    <w:rsid w:val="00974778"/>
    <w:rsid w:val="00974E65"/>
    <w:rsid w:val="009753B3"/>
    <w:rsid w:val="00975E48"/>
    <w:rsid w:val="0097723D"/>
    <w:rsid w:val="0097749B"/>
    <w:rsid w:val="00981493"/>
    <w:rsid w:val="009816EC"/>
    <w:rsid w:val="00981A24"/>
    <w:rsid w:val="0098431E"/>
    <w:rsid w:val="00984811"/>
    <w:rsid w:val="009848E1"/>
    <w:rsid w:val="00986574"/>
    <w:rsid w:val="0098799A"/>
    <w:rsid w:val="009907BB"/>
    <w:rsid w:val="00991788"/>
    <w:rsid w:val="00991AAA"/>
    <w:rsid w:val="00992AA4"/>
    <w:rsid w:val="00995FD6"/>
    <w:rsid w:val="00996625"/>
    <w:rsid w:val="00996AAB"/>
    <w:rsid w:val="00997B76"/>
    <w:rsid w:val="00997EAC"/>
    <w:rsid w:val="009A0E38"/>
    <w:rsid w:val="009A0E3E"/>
    <w:rsid w:val="009A1AB3"/>
    <w:rsid w:val="009A3B10"/>
    <w:rsid w:val="009A4197"/>
    <w:rsid w:val="009A50C3"/>
    <w:rsid w:val="009A6CBF"/>
    <w:rsid w:val="009A7283"/>
    <w:rsid w:val="009B0F01"/>
    <w:rsid w:val="009B1059"/>
    <w:rsid w:val="009B17F9"/>
    <w:rsid w:val="009B1BC1"/>
    <w:rsid w:val="009B1F9B"/>
    <w:rsid w:val="009B317C"/>
    <w:rsid w:val="009B38E7"/>
    <w:rsid w:val="009B394C"/>
    <w:rsid w:val="009B396C"/>
    <w:rsid w:val="009B4376"/>
    <w:rsid w:val="009B45E9"/>
    <w:rsid w:val="009B4807"/>
    <w:rsid w:val="009B4F58"/>
    <w:rsid w:val="009B629D"/>
    <w:rsid w:val="009B62AA"/>
    <w:rsid w:val="009B686E"/>
    <w:rsid w:val="009B7419"/>
    <w:rsid w:val="009B796E"/>
    <w:rsid w:val="009C07A9"/>
    <w:rsid w:val="009C093E"/>
    <w:rsid w:val="009C2FE8"/>
    <w:rsid w:val="009C636D"/>
    <w:rsid w:val="009D1532"/>
    <w:rsid w:val="009D154C"/>
    <w:rsid w:val="009D1783"/>
    <w:rsid w:val="009D2BAC"/>
    <w:rsid w:val="009D3724"/>
    <w:rsid w:val="009D397E"/>
    <w:rsid w:val="009D3AF4"/>
    <w:rsid w:val="009D46E5"/>
    <w:rsid w:val="009D5706"/>
    <w:rsid w:val="009E0139"/>
    <w:rsid w:val="009E1BAA"/>
    <w:rsid w:val="009E1E8E"/>
    <w:rsid w:val="009E2DC5"/>
    <w:rsid w:val="009E3CDA"/>
    <w:rsid w:val="009E5603"/>
    <w:rsid w:val="009E59BC"/>
    <w:rsid w:val="009E6BBD"/>
    <w:rsid w:val="009F0C45"/>
    <w:rsid w:val="009F0F07"/>
    <w:rsid w:val="009F1593"/>
    <w:rsid w:val="009F256F"/>
    <w:rsid w:val="009F25B7"/>
    <w:rsid w:val="009F4E70"/>
    <w:rsid w:val="009F5425"/>
    <w:rsid w:val="00A0157A"/>
    <w:rsid w:val="00A01B66"/>
    <w:rsid w:val="00A02498"/>
    <w:rsid w:val="00A02855"/>
    <w:rsid w:val="00A029BF"/>
    <w:rsid w:val="00A057DD"/>
    <w:rsid w:val="00A10539"/>
    <w:rsid w:val="00A11C2C"/>
    <w:rsid w:val="00A13599"/>
    <w:rsid w:val="00A15EC0"/>
    <w:rsid w:val="00A1630C"/>
    <w:rsid w:val="00A16C1C"/>
    <w:rsid w:val="00A2121C"/>
    <w:rsid w:val="00A21B3F"/>
    <w:rsid w:val="00A23C7C"/>
    <w:rsid w:val="00A2434D"/>
    <w:rsid w:val="00A24A4B"/>
    <w:rsid w:val="00A25FF1"/>
    <w:rsid w:val="00A276FD"/>
    <w:rsid w:val="00A30878"/>
    <w:rsid w:val="00A30AED"/>
    <w:rsid w:val="00A31324"/>
    <w:rsid w:val="00A3230A"/>
    <w:rsid w:val="00A326EC"/>
    <w:rsid w:val="00A3295A"/>
    <w:rsid w:val="00A33610"/>
    <w:rsid w:val="00A3433D"/>
    <w:rsid w:val="00A34E55"/>
    <w:rsid w:val="00A36269"/>
    <w:rsid w:val="00A3726E"/>
    <w:rsid w:val="00A402E5"/>
    <w:rsid w:val="00A40507"/>
    <w:rsid w:val="00A40B45"/>
    <w:rsid w:val="00A411E7"/>
    <w:rsid w:val="00A416A6"/>
    <w:rsid w:val="00A42B8C"/>
    <w:rsid w:val="00A44ED5"/>
    <w:rsid w:val="00A462A4"/>
    <w:rsid w:val="00A5002B"/>
    <w:rsid w:val="00A50CE4"/>
    <w:rsid w:val="00A52AFD"/>
    <w:rsid w:val="00A530C6"/>
    <w:rsid w:val="00A54B72"/>
    <w:rsid w:val="00A54BEB"/>
    <w:rsid w:val="00A57C62"/>
    <w:rsid w:val="00A60BF3"/>
    <w:rsid w:val="00A61A84"/>
    <w:rsid w:val="00A624DF"/>
    <w:rsid w:val="00A625E7"/>
    <w:rsid w:val="00A626FD"/>
    <w:rsid w:val="00A63409"/>
    <w:rsid w:val="00A63BC6"/>
    <w:rsid w:val="00A646CA"/>
    <w:rsid w:val="00A6532B"/>
    <w:rsid w:val="00A65FF5"/>
    <w:rsid w:val="00A66765"/>
    <w:rsid w:val="00A700EA"/>
    <w:rsid w:val="00A7113C"/>
    <w:rsid w:val="00A726BE"/>
    <w:rsid w:val="00A744E3"/>
    <w:rsid w:val="00A74599"/>
    <w:rsid w:val="00A77CA9"/>
    <w:rsid w:val="00A81FB5"/>
    <w:rsid w:val="00A8247E"/>
    <w:rsid w:val="00A86F0A"/>
    <w:rsid w:val="00A872CC"/>
    <w:rsid w:val="00A91460"/>
    <w:rsid w:val="00A91929"/>
    <w:rsid w:val="00A926D7"/>
    <w:rsid w:val="00A92BD4"/>
    <w:rsid w:val="00A93327"/>
    <w:rsid w:val="00A93831"/>
    <w:rsid w:val="00A941BC"/>
    <w:rsid w:val="00A95DB0"/>
    <w:rsid w:val="00A96DC2"/>
    <w:rsid w:val="00AA0197"/>
    <w:rsid w:val="00AA0345"/>
    <w:rsid w:val="00AA0869"/>
    <w:rsid w:val="00AA1905"/>
    <w:rsid w:val="00AA203E"/>
    <w:rsid w:val="00AA2AB3"/>
    <w:rsid w:val="00AA3125"/>
    <w:rsid w:val="00AA364C"/>
    <w:rsid w:val="00AA38A2"/>
    <w:rsid w:val="00AA5727"/>
    <w:rsid w:val="00AA5E1F"/>
    <w:rsid w:val="00AA5E22"/>
    <w:rsid w:val="00AA69C5"/>
    <w:rsid w:val="00AA7738"/>
    <w:rsid w:val="00AB1DDC"/>
    <w:rsid w:val="00AB1DE8"/>
    <w:rsid w:val="00AB4189"/>
    <w:rsid w:val="00AB4907"/>
    <w:rsid w:val="00AB5299"/>
    <w:rsid w:val="00AB54DF"/>
    <w:rsid w:val="00AB77E1"/>
    <w:rsid w:val="00AC14B4"/>
    <w:rsid w:val="00AC166C"/>
    <w:rsid w:val="00AC1BAD"/>
    <w:rsid w:val="00AC22C1"/>
    <w:rsid w:val="00AC3E2F"/>
    <w:rsid w:val="00AC7482"/>
    <w:rsid w:val="00AD074E"/>
    <w:rsid w:val="00AD09BF"/>
    <w:rsid w:val="00AD1699"/>
    <w:rsid w:val="00AD2263"/>
    <w:rsid w:val="00AD2351"/>
    <w:rsid w:val="00AD2950"/>
    <w:rsid w:val="00AD3B28"/>
    <w:rsid w:val="00AD3B6C"/>
    <w:rsid w:val="00AD41CB"/>
    <w:rsid w:val="00AD461B"/>
    <w:rsid w:val="00AD469F"/>
    <w:rsid w:val="00AD600C"/>
    <w:rsid w:val="00AE086A"/>
    <w:rsid w:val="00AE0D44"/>
    <w:rsid w:val="00AE0D71"/>
    <w:rsid w:val="00AE0F4C"/>
    <w:rsid w:val="00AE0F57"/>
    <w:rsid w:val="00AE10E8"/>
    <w:rsid w:val="00AE1114"/>
    <w:rsid w:val="00AE1C16"/>
    <w:rsid w:val="00AE2058"/>
    <w:rsid w:val="00AE2FEF"/>
    <w:rsid w:val="00AE3B55"/>
    <w:rsid w:val="00AE6D97"/>
    <w:rsid w:val="00AE7F02"/>
    <w:rsid w:val="00AF0916"/>
    <w:rsid w:val="00AF097A"/>
    <w:rsid w:val="00AF17E9"/>
    <w:rsid w:val="00AF217D"/>
    <w:rsid w:val="00AF582B"/>
    <w:rsid w:val="00AF5BC6"/>
    <w:rsid w:val="00AF62BB"/>
    <w:rsid w:val="00AF630E"/>
    <w:rsid w:val="00AF70B8"/>
    <w:rsid w:val="00B00E9C"/>
    <w:rsid w:val="00B0123F"/>
    <w:rsid w:val="00B0245E"/>
    <w:rsid w:val="00B04D09"/>
    <w:rsid w:val="00B058A4"/>
    <w:rsid w:val="00B06569"/>
    <w:rsid w:val="00B070AC"/>
    <w:rsid w:val="00B103B8"/>
    <w:rsid w:val="00B11BCC"/>
    <w:rsid w:val="00B12A92"/>
    <w:rsid w:val="00B13A6E"/>
    <w:rsid w:val="00B1410D"/>
    <w:rsid w:val="00B15387"/>
    <w:rsid w:val="00B15B60"/>
    <w:rsid w:val="00B17409"/>
    <w:rsid w:val="00B22632"/>
    <w:rsid w:val="00B22B40"/>
    <w:rsid w:val="00B23803"/>
    <w:rsid w:val="00B23CFC"/>
    <w:rsid w:val="00B251B0"/>
    <w:rsid w:val="00B27B31"/>
    <w:rsid w:val="00B300DD"/>
    <w:rsid w:val="00B3225E"/>
    <w:rsid w:val="00B327CC"/>
    <w:rsid w:val="00B32E02"/>
    <w:rsid w:val="00B332FD"/>
    <w:rsid w:val="00B342A0"/>
    <w:rsid w:val="00B36180"/>
    <w:rsid w:val="00B365D4"/>
    <w:rsid w:val="00B36B14"/>
    <w:rsid w:val="00B370E4"/>
    <w:rsid w:val="00B37103"/>
    <w:rsid w:val="00B37BE6"/>
    <w:rsid w:val="00B40244"/>
    <w:rsid w:val="00B42599"/>
    <w:rsid w:val="00B43351"/>
    <w:rsid w:val="00B43486"/>
    <w:rsid w:val="00B44E1B"/>
    <w:rsid w:val="00B4570B"/>
    <w:rsid w:val="00B459B4"/>
    <w:rsid w:val="00B46897"/>
    <w:rsid w:val="00B46BFE"/>
    <w:rsid w:val="00B478EF"/>
    <w:rsid w:val="00B506A4"/>
    <w:rsid w:val="00B50ADA"/>
    <w:rsid w:val="00B50FBF"/>
    <w:rsid w:val="00B51671"/>
    <w:rsid w:val="00B539A4"/>
    <w:rsid w:val="00B54346"/>
    <w:rsid w:val="00B55B07"/>
    <w:rsid w:val="00B57B65"/>
    <w:rsid w:val="00B607FD"/>
    <w:rsid w:val="00B610F8"/>
    <w:rsid w:val="00B62667"/>
    <w:rsid w:val="00B62A4F"/>
    <w:rsid w:val="00B62C82"/>
    <w:rsid w:val="00B62FC8"/>
    <w:rsid w:val="00B65166"/>
    <w:rsid w:val="00B66416"/>
    <w:rsid w:val="00B6764C"/>
    <w:rsid w:val="00B678CF"/>
    <w:rsid w:val="00B70137"/>
    <w:rsid w:val="00B72658"/>
    <w:rsid w:val="00B72BEF"/>
    <w:rsid w:val="00B730B1"/>
    <w:rsid w:val="00B738DA"/>
    <w:rsid w:val="00B7443C"/>
    <w:rsid w:val="00B75712"/>
    <w:rsid w:val="00B759E0"/>
    <w:rsid w:val="00B75C2C"/>
    <w:rsid w:val="00B75C78"/>
    <w:rsid w:val="00B75D5F"/>
    <w:rsid w:val="00B7621E"/>
    <w:rsid w:val="00B76334"/>
    <w:rsid w:val="00B76347"/>
    <w:rsid w:val="00B76FB1"/>
    <w:rsid w:val="00B77CCD"/>
    <w:rsid w:val="00B80271"/>
    <w:rsid w:val="00B80A2F"/>
    <w:rsid w:val="00B80FB6"/>
    <w:rsid w:val="00B82181"/>
    <w:rsid w:val="00B828D7"/>
    <w:rsid w:val="00B85205"/>
    <w:rsid w:val="00B85CB1"/>
    <w:rsid w:val="00B879D9"/>
    <w:rsid w:val="00B93110"/>
    <w:rsid w:val="00B93594"/>
    <w:rsid w:val="00B9383A"/>
    <w:rsid w:val="00B9399F"/>
    <w:rsid w:val="00B945A6"/>
    <w:rsid w:val="00B94FE7"/>
    <w:rsid w:val="00B95C20"/>
    <w:rsid w:val="00B95C2C"/>
    <w:rsid w:val="00B96937"/>
    <w:rsid w:val="00B96DC0"/>
    <w:rsid w:val="00B96F31"/>
    <w:rsid w:val="00BA1F94"/>
    <w:rsid w:val="00BA2428"/>
    <w:rsid w:val="00BA2460"/>
    <w:rsid w:val="00BA341D"/>
    <w:rsid w:val="00BA4193"/>
    <w:rsid w:val="00BA4290"/>
    <w:rsid w:val="00BA4B78"/>
    <w:rsid w:val="00BA53BC"/>
    <w:rsid w:val="00BA5777"/>
    <w:rsid w:val="00BA5845"/>
    <w:rsid w:val="00BA5883"/>
    <w:rsid w:val="00BA7A1A"/>
    <w:rsid w:val="00BA7EBB"/>
    <w:rsid w:val="00BB0872"/>
    <w:rsid w:val="00BB191E"/>
    <w:rsid w:val="00BB294E"/>
    <w:rsid w:val="00BB33EF"/>
    <w:rsid w:val="00BB4AA9"/>
    <w:rsid w:val="00BB5B77"/>
    <w:rsid w:val="00BB5FFE"/>
    <w:rsid w:val="00BC0F0A"/>
    <w:rsid w:val="00BC11B6"/>
    <w:rsid w:val="00BC164B"/>
    <w:rsid w:val="00BC1F0B"/>
    <w:rsid w:val="00BC2115"/>
    <w:rsid w:val="00BC25F2"/>
    <w:rsid w:val="00BC2F64"/>
    <w:rsid w:val="00BC34F2"/>
    <w:rsid w:val="00BC42BF"/>
    <w:rsid w:val="00BC5179"/>
    <w:rsid w:val="00BC55D2"/>
    <w:rsid w:val="00BC6DC9"/>
    <w:rsid w:val="00BD0B7A"/>
    <w:rsid w:val="00BD0C7E"/>
    <w:rsid w:val="00BD276E"/>
    <w:rsid w:val="00BD2B8E"/>
    <w:rsid w:val="00BD2FC8"/>
    <w:rsid w:val="00BD37A7"/>
    <w:rsid w:val="00BD4856"/>
    <w:rsid w:val="00BD4D64"/>
    <w:rsid w:val="00BD579A"/>
    <w:rsid w:val="00BD6130"/>
    <w:rsid w:val="00BE1CEF"/>
    <w:rsid w:val="00BE3BE2"/>
    <w:rsid w:val="00BE3BFA"/>
    <w:rsid w:val="00BE4C3B"/>
    <w:rsid w:val="00BE4FDC"/>
    <w:rsid w:val="00BE5DF5"/>
    <w:rsid w:val="00BE7F38"/>
    <w:rsid w:val="00BF004D"/>
    <w:rsid w:val="00BF19BA"/>
    <w:rsid w:val="00BF2286"/>
    <w:rsid w:val="00BF232A"/>
    <w:rsid w:val="00BF2CFC"/>
    <w:rsid w:val="00BF2EDB"/>
    <w:rsid w:val="00BF6A16"/>
    <w:rsid w:val="00BF7C9F"/>
    <w:rsid w:val="00C0031D"/>
    <w:rsid w:val="00C01214"/>
    <w:rsid w:val="00C0176C"/>
    <w:rsid w:val="00C01D1B"/>
    <w:rsid w:val="00C02278"/>
    <w:rsid w:val="00C029BD"/>
    <w:rsid w:val="00C03221"/>
    <w:rsid w:val="00C03CFB"/>
    <w:rsid w:val="00C03E82"/>
    <w:rsid w:val="00C040EA"/>
    <w:rsid w:val="00C046A7"/>
    <w:rsid w:val="00C04737"/>
    <w:rsid w:val="00C06409"/>
    <w:rsid w:val="00C0664E"/>
    <w:rsid w:val="00C07418"/>
    <w:rsid w:val="00C075CD"/>
    <w:rsid w:val="00C0775D"/>
    <w:rsid w:val="00C078CE"/>
    <w:rsid w:val="00C07C46"/>
    <w:rsid w:val="00C104DA"/>
    <w:rsid w:val="00C10D3D"/>
    <w:rsid w:val="00C11314"/>
    <w:rsid w:val="00C115EF"/>
    <w:rsid w:val="00C12811"/>
    <w:rsid w:val="00C136C9"/>
    <w:rsid w:val="00C142DB"/>
    <w:rsid w:val="00C143D0"/>
    <w:rsid w:val="00C1475E"/>
    <w:rsid w:val="00C16BF5"/>
    <w:rsid w:val="00C16D3E"/>
    <w:rsid w:val="00C21F8E"/>
    <w:rsid w:val="00C22DB7"/>
    <w:rsid w:val="00C239E5"/>
    <w:rsid w:val="00C25FB7"/>
    <w:rsid w:val="00C269DA"/>
    <w:rsid w:val="00C272FE"/>
    <w:rsid w:val="00C3286D"/>
    <w:rsid w:val="00C32B56"/>
    <w:rsid w:val="00C34792"/>
    <w:rsid w:val="00C34A86"/>
    <w:rsid w:val="00C35665"/>
    <w:rsid w:val="00C35E0C"/>
    <w:rsid w:val="00C35E3A"/>
    <w:rsid w:val="00C36D68"/>
    <w:rsid w:val="00C40620"/>
    <w:rsid w:val="00C406A7"/>
    <w:rsid w:val="00C4150A"/>
    <w:rsid w:val="00C447EB"/>
    <w:rsid w:val="00C45ABF"/>
    <w:rsid w:val="00C45C0C"/>
    <w:rsid w:val="00C46CCC"/>
    <w:rsid w:val="00C479A1"/>
    <w:rsid w:val="00C47E97"/>
    <w:rsid w:val="00C47F70"/>
    <w:rsid w:val="00C5054C"/>
    <w:rsid w:val="00C50BC3"/>
    <w:rsid w:val="00C51EEA"/>
    <w:rsid w:val="00C52BD6"/>
    <w:rsid w:val="00C53A7B"/>
    <w:rsid w:val="00C56391"/>
    <w:rsid w:val="00C5654F"/>
    <w:rsid w:val="00C56BDC"/>
    <w:rsid w:val="00C57712"/>
    <w:rsid w:val="00C57D21"/>
    <w:rsid w:val="00C57F6A"/>
    <w:rsid w:val="00C60FE1"/>
    <w:rsid w:val="00C61A19"/>
    <w:rsid w:val="00C622B0"/>
    <w:rsid w:val="00C63B96"/>
    <w:rsid w:val="00C63BBF"/>
    <w:rsid w:val="00C63C9B"/>
    <w:rsid w:val="00C661E9"/>
    <w:rsid w:val="00C66B44"/>
    <w:rsid w:val="00C67794"/>
    <w:rsid w:val="00C70937"/>
    <w:rsid w:val="00C70E39"/>
    <w:rsid w:val="00C725EE"/>
    <w:rsid w:val="00C729E6"/>
    <w:rsid w:val="00C72E93"/>
    <w:rsid w:val="00C74109"/>
    <w:rsid w:val="00C80A7D"/>
    <w:rsid w:val="00C81C47"/>
    <w:rsid w:val="00C8258F"/>
    <w:rsid w:val="00C82F9B"/>
    <w:rsid w:val="00C84154"/>
    <w:rsid w:val="00C847A9"/>
    <w:rsid w:val="00C85063"/>
    <w:rsid w:val="00C876D8"/>
    <w:rsid w:val="00C9016D"/>
    <w:rsid w:val="00C91648"/>
    <w:rsid w:val="00C91CD4"/>
    <w:rsid w:val="00C935D1"/>
    <w:rsid w:val="00C9436C"/>
    <w:rsid w:val="00C968D8"/>
    <w:rsid w:val="00CA098C"/>
    <w:rsid w:val="00CA0D47"/>
    <w:rsid w:val="00CA191D"/>
    <w:rsid w:val="00CA2BA8"/>
    <w:rsid w:val="00CA2E41"/>
    <w:rsid w:val="00CA5E30"/>
    <w:rsid w:val="00CA5F77"/>
    <w:rsid w:val="00CA6C79"/>
    <w:rsid w:val="00CB0582"/>
    <w:rsid w:val="00CB0BC0"/>
    <w:rsid w:val="00CB3FA2"/>
    <w:rsid w:val="00CB54AE"/>
    <w:rsid w:val="00CB6F1B"/>
    <w:rsid w:val="00CB706B"/>
    <w:rsid w:val="00CB7279"/>
    <w:rsid w:val="00CB7309"/>
    <w:rsid w:val="00CC00C4"/>
    <w:rsid w:val="00CC1D89"/>
    <w:rsid w:val="00CC201A"/>
    <w:rsid w:val="00CC2C4F"/>
    <w:rsid w:val="00CC4062"/>
    <w:rsid w:val="00CC5F50"/>
    <w:rsid w:val="00CC6C5E"/>
    <w:rsid w:val="00CD0832"/>
    <w:rsid w:val="00CD2046"/>
    <w:rsid w:val="00CD2661"/>
    <w:rsid w:val="00CD3BF6"/>
    <w:rsid w:val="00CD3FA6"/>
    <w:rsid w:val="00CD426A"/>
    <w:rsid w:val="00CD541A"/>
    <w:rsid w:val="00CD5B18"/>
    <w:rsid w:val="00CD5CC4"/>
    <w:rsid w:val="00CD61BC"/>
    <w:rsid w:val="00CD68C6"/>
    <w:rsid w:val="00CE0990"/>
    <w:rsid w:val="00CE0DCC"/>
    <w:rsid w:val="00CE1BC4"/>
    <w:rsid w:val="00CE2B62"/>
    <w:rsid w:val="00CE3F76"/>
    <w:rsid w:val="00CE48D4"/>
    <w:rsid w:val="00CE59C8"/>
    <w:rsid w:val="00CE75A9"/>
    <w:rsid w:val="00CF0407"/>
    <w:rsid w:val="00CF065E"/>
    <w:rsid w:val="00CF069E"/>
    <w:rsid w:val="00CF4A2D"/>
    <w:rsid w:val="00CF5137"/>
    <w:rsid w:val="00CF5701"/>
    <w:rsid w:val="00D010D3"/>
    <w:rsid w:val="00D011EC"/>
    <w:rsid w:val="00D01879"/>
    <w:rsid w:val="00D024C1"/>
    <w:rsid w:val="00D02F54"/>
    <w:rsid w:val="00D0316A"/>
    <w:rsid w:val="00D039EF"/>
    <w:rsid w:val="00D04D4E"/>
    <w:rsid w:val="00D052E5"/>
    <w:rsid w:val="00D0617E"/>
    <w:rsid w:val="00D07BD9"/>
    <w:rsid w:val="00D104B5"/>
    <w:rsid w:val="00D10A77"/>
    <w:rsid w:val="00D10F54"/>
    <w:rsid w:val="00D124C7"/>
    <w:rsid w:val="00D135DF"/>
    <w:rsid w:val="00D13691"/>
    <w:rsid w:val="00D137B6"/>
    <w:rsid w:val="00D138ED"/>
    <w:rsid w:val="00D143EC"/>
    <w:rsid w:val="00D167BE"/>
    <w:rsid w:val="00D173CD"/>
    <w:rsid w:val="00D20733"/>
    <w:rsid w:val="00D214D7"/>
    <w:rsid w:val="00D215B6"/>
    <w:rsid w:val="00D22B75"/>
    <w:rsid w:val="00D22BF3"/>
    <w:rsid w:val="00D23E3A"/>
    <w:rsid w:val="00D246CE"/>
    <w:rsid w:val="00D25065"/>
    <w:rsid w:val="00D2510A"/>
    <w:rsid w:val="00D2521E"/>
    <w:rsid w:val="00D25D3C"/>
    <w:rsid w:val="00D27CF3"/>
    <w:rsid w:val="00D30955"/>
    <w:rsid w:val="00D30B67"/>
    <w:rsid w:val="00D311CE"/>
    <w:rsid w:val="00D31D8B"/>
    <w:rsid w:val="00D3247D"/>
    <w:rsid w:val="00D32E54"/>
    <w:rsid w:val="00D35177"/>
    <w:rsid w:val="00D35E2B"/>
    <w:rsid w:val="00D3655E"/>
    <w:rsid w:val="00D37F1D"/>
    <w:rsid w:val="00D41629"/>
    <w:rsid w:val="00D41D16"/>
    <w:rsid w:val="00D42FB0"/>
    <w:rsid w:val="00D44B0A"/>
    <w:rsid w:val="00D4588A"/>
    <w:rsid w:val="00D45FBC"/>
    <w:rsid w:val="00D465CF"/>
    <w:rsid w:val="00D500BE"/>
    <w:rsid w:val="00D50266"/>
    <w:rsid w:val="00D5071D"/>
    <w:rsid w:val="00D50B67"/>
    <w:rsid w:val="00D50F32"/>
    <w:rsid w:val="00D52B53"/>
    <w:rsid w:val="00D52FB9"/>
    <w:rsid w:val="00D53041"/>
    <w:rsid w:val="00D53157"/>
    <w:rsid w:val="00D54210"/>
    <w:rsid w:val="00D54420"/>
    <w:rsid w:val="00D55911"/>
    <w:rsid w:val="00D55BF3"/>
    <w:rsid w:val="00D5682F"/>
    <w:rsid w:val="00D57CCA"/>
    <w:rsid w:val="00D601EA"/>
    <w:rsid w:val="00D61357"/>
    <w:rsid w:val="00D616B9"/>
    <w:rsid w:val="00D61933"/>
    <w:rsid w:val="00D61B0D"/>
    <w:rsid w:val="00D6204E"/>
    <w:rsid w:val="00D62194"/>
    <w:rsid w:val="00D625AB"/>
    <w:rsid w:val="00D64198"/>
    <w:rsid w:val="00D6483F"/>
    <w:rsid w:val="00D656FF"/>
    <w:rsid w:val="00D66118"/>
    <w:rsid w:val="00D673D4"/>
    <w:rsid w:val="00D71A67"/>
    <w:rsid w:val="00D7355D"/>
    <w:rsid w:val="00D738DA"/>
    <w:rsid w:val="00D748DA"/>
    <w:rsid w:val="00D74AD3"/>
    <w:rsid w:val="00D80C06"/>
    <w:rsid w:val="00D81631"/>
    <w:rsid w:val="00D81656"/>
    <w:rsid w:val="00D823E4"/>
    <w:rsid w:val="00D83650"/>
    <w:rsid w:val="00D936A9"/>
    <w:rsid w:val="00D94173"/>
    <w:rsid w:val="00D94191"/>
    <w:rsid w:val="00D9427B"/>
    <w:rsid w:val="00D9446B"/>
    <w:rsid w:val="00D944A2"/>
    <w:rsid w:val="00D95929"/>
    <w:rsid w:val="00D95B24"/>
    <w:rsid w:val="00DA15F4"/>
    <w:rsid w:val="00DA1E47"/>
    <w:rsid w:val="00DA2355"/>
    <w:rsid w:val="00DA2ADB"/>
    <w:rsid w:val="00DA338B"/>
    <w:rsid w:val="00DA3C71"/>
    <w:rsid w:val="00DA44D4"/>
    <w:rsid w:val="00DA4EAE"/>
    <w:rsid w:val="00DA62B6"/>
    <w:rsid w:val="00DA71B5"/>
    <w:rsid w:val="00DA7441"/>
    <w:rsid w:val="00DB016C"/>
    <w:rsid w:val="00DB169D"/>
    <w:rsid w:val="00DB2628"/>
    <w:rsid w:val="00DB4327"/>
    <w:rsid w:val="00DB479B"/>
    <w:rsid w:val="00DC3089"/>
    <w:rsid w:val="00DC377C"/>
    <w:rsid w:val="00DC4759"/>
    <w:rsid w:val="00DC4A4E"/>
    <w:rsid w:val="00DC54F8"/>
    <w:rsid w:val="00DC57C7"/>
    <w:rsid w:val="00DC5A8D"/>
    <w:rsid w:val="00DC5ABB"/>
    <w:rsid w:val="00DC622E"/>
    <w:rsid w:val="00DD0997"/>
    <w:rsid w:val="00DD0DFC"/>
    <w:rsid w:val="00DD13BC"/>
    <w:rsid w:val="00DD25C2"/>
    <w:rsid w:val="00DD4D9B"/>
    <w:rsid w:val="00DD5A28"/>
    <w:rsid w:val="00DD7310"/>
    <w:rsid w:val="00DE0075"/>
    <w:rsid w:val="00DE37B1"/>
    <w:rsid w:val="00DE3ED7"/>
    <w:rsid w:val="00DE4149"/>
    <w:rsid w:val="00DE507F"/>
    <w:rsid w:val="00DE72F6"/>
    <w:rsid w:val="00DE744C"/>
    <w:rsid w:val="00DF1324"/>
    <w:rsid w:val="00DF15DF"/>
    <w:rsid w:val="00DF2200"/>
    <w:rsid w:val="00DF2599"/>
    <w:rsid w:val="00DF3628"/>
    <w:rsid w:val="00DF3A42"/>
    <w:rsid w:val="00DF3AE4"/>
    <w:rsid w:val="00DF4518"/>
    <w:rsid w:val="00DF6F7C"/>
    <w:rsid w:val="00DF755C"/>
    <w:rsid w:val="00E0190F"/>
    <w:rsid w:val="00E01A36"/>
    <w:rsid w:val="00E032FF"/>
    <w:rsid w:val="00E03CFA"/>
    <w:rsid w:val="00E062BB"/>
    <w:rsid w:val="00E066B2"/>
    <w:rsid w:val="00E07CB8"/>
    <w:rsid w:val="00E10511"/>
    <w:rsid w:val="00E105F7"/>
    <w:rsid w:val="00E106A1"/>
    <w:rsid w:val="00E1289B"/>
    <w:rsid w:val="00E12B34"/>
    <w:rsid w:val="00E14D7C"/>
    <w:rsid w:val="00E160C6"/>
    <w:rsid w:val="00E1701A"/>
    <w:rsid w:val="00E20717"/>
    <w:rsid w:val="00E20D41"/>
    <w:rsid w:val="00E20FB5"/>
    <w:rsid w:val="00E21282"/>
    <w:rsid w:val="00E224AA"/>
    <w:rsid w:val="00E229FA"/>
    <w:rsid w:val="00E23364"/>
    <w:rsid w:val="00E23E69"/>
    <w:rsid w:val="00E253E6"/>
    <w:rsid w:val="00E25CE9"/>
    <w:rsid w:val="00E265B4"/>
    <w:rsid w:val="00E26B0D"/>
    <w:rsid w:val="00E26CDF"/>
    <w:rsid w:val="00E26E95"/>
    <w:rsid w:val="00E30D8C"/>
    <w:rsid w:val="00E31B43"/>
    <w:rsid w:val="00E32791"/>
    <w:rsid w:val="00E348B2"/>
    <w:rsid w:val="00E34977"/>
    <w:rsid w:val="00E34B44"/>
    <w:rsid w:val="00E36905"/>
    <w:rsid w:val="00E369FB"/>
    <w:rsid w:val="00E36D72"/>
    <w:rsid w:val="00E37954"/>
    <w:rsid w:val="00E40286"/>
    <w:rsid w:val="00E4036E"/>
    <w:rsid w:val="00E414F9"/>
    <w:rsid w:val="00E41794"/>
    <w:rsid w:val="00E41BB2"/>
    <w:rsid w:val="00E41D05"/>
    <w:rsid w:val="00E42331"/>
    <w:rsid w:val="00E42F9F"/>
    <w:rsid w:val="00E43D15"/>
    <w:rsid w:val="00E444A6"/>
    <w:rsid w:val="00E449B4"/>
    <w:rsid w:val="00E44A30"/>
    <w:rsid w:val="00E4503F"/>
    <w:rsid w:val="00E46747"/>
    <w:rsid w:val="00E4682D"/>
    <w:rsid w:val="00E47A48"/>
    <w:rsid w:val="00E506AC"/>
    <w:rsid w:val="00E50BFA"/>
    <w:rsid w:val="00E52C0B"/>
    <w:rsid w:val="00E52FDE"/>
    <w:rsid w:val="00E538C7"/>
    <w:rsid w:val="00E55414"/>
    <w:rsid w:val="00E5602F"/>
    <w:rsid w:val="00E5769C"/>
    <w:rsid w:val="00E57858"/>
    <w:rsid w:val="00E57DBD"/>
    <w:rsid w:val="00E6042F"/>
    <w:rsid w:val="00E60FDF"/>
    <w:rsid w:val="00E61DA5"/>
    <w:rsid w:val="00E62828"/>
    <w:rsid w:val="00E62F00"/>
    <w:rsid w:val="00E64852"/>
    <w:rsid w:val="00E657E8"/>
    <w:rsid w:val="00E66AFF"/>
    <w:rsid w:val="00E674F3"/>
    <w:rsid w:val="00E7220B"/>
    <w:rsid w:val="00E74626"/>
    <w:rsid w:val="00E75AFE"/>
    <w:rsid w:val="00E761A0"/>
    <w:rsid w:val="00E76CE9"/>
    <w:rsid w:val="00E77A31"/>
    <w:rsid w:val="00E80122"/>
    <w:rsid w:val="00E829A4"/>
    <w:rsid w:val="00E83EF2"/>
    <w:rsid w:val="00E859C1"/>
    <w:rsid w:val="00E8622D"/>
    <w:rsid w:val="00E863B0"/>
    <w:rsid w:val="00E86D0B"/>
    <w:rsid w:val="00E873C2"/>
    <w:rsid w:val="00E873CE"/>
    <w:rsid w:val="00E90A2F"/>
    <w:rsid w:val="00E90DDA"/>
    <w:rsid w:val="00E910DC"/>
    <w:rsid w:val="00E91740"/>
    <w:rsid w:val="00E967C9"/>
    <w:rsid w:val="00E96C5E"/>
    <w:rsid w:val="00E96DDD"/>
    <w:rsid w:val="00E9730A"/>
    <w:rsid w:val="00EA0A2C"/>
    <w:rsid w:val="00EA0A8B"/>
    <w:rsid w:val="00EA218F"/>
    <w:rsid w:val="00EA3364"/>
    <w:rsid w:val="00EA3AE1"/>
    <w:rsid w:val="00EA4373"/>
    <w:rsid w:val="00EA5464"/>
    <w:rsid w:val="00EA5689"/>
    <w:rsid w:val="00EA791E"/>
    <w:rsid w:val="00EB069C"/>
    <w:rsid w:val="00EB4B88"/>
    <w:rsid w:val="00EB4BC2"/>
    <w:rsid w:val="00EB5047"/>
    <w:rsid w:val="00EB5C98"/>
    <w:rsid w:val="00EB649E"/>
    <w:rsid w:val="00EB743A"/>
    <w:rsid w:val="00EB7A92"/>
    <w:rsid w:val="00EB7BC0"/>
    <w:rsid w:val="00EB7F57"/>
    <w:rsid w:val="00EC005D"/>
    <w:rsid w:val="00EC0D9C"/>
    <w:rsid w:val="00EC0DDB"/>
    <w:rsid w:val="00EC0DF4"/>
    <w:rsid w:val="00EC21FB"/>
    <w:rsid w:val="00EC3812"/>
    <w:rsid w:val="00EC406A"/>
    <w:rsid w:val="00EC4DC8"/>
    <w:rsid w:val="00EC516F"/>
    <w:rsid w:val="00EC574F"/>
    <w:rsid w:val="00EC5AD3"/>
    <w:rsid w:val="00EC5DBD"/>
    <w:rsid w:val="00EC688F"/>
    <w:rsid w:val="00EC6B6B"/>
    <w:rsid w:val="00ED0EC8"/>
    <w:rsid w:val="00ED1143"/>
    <w:rsid w:val="00ED25BA"/>
    <w:rsid w:val="00ED4417"/>
    <w:rsid w:val="00ED5A63"/>
    <w:rsid w:val="00ED6932"/>
    <w:rsid w:val="00ED6CDF"/>
    <w:rsid w:val="00EE0CF0"/>
    <w:rsid w:val="00EE1874"/>
    <w:rsid w:val="00EE3056"/>
    <w:rsid w:val="00EE32FD"/>
    <w:rsid w:val="00EE4BD6"/>
    <w:rsid w:val="00EE5100"/>
    <w:rsid w:val="00EE63D5"/>
    <w:rsid w:val="00EE66B8"/>
    <w:rsid w:val="00EE6A2B"/>
    <w:rsid w:val="00EE7237"/>
    <w:rsid w:val="00EF0A24"/>
    <w:rsid w:val="00EF1F0B"/>
    <w:rsid w:val="00EF37B0"/>
    <w:rsid w:val="00EF3E11"/>
    <w:rsid w:val="00EF413B"/>
    <w:rsid w:val="00EF4AAB"/>
    <w:rsid w:val="00EF6FA6"/>
    <w:rsid w:val="00F00032"/>
    <w:rsid w:val="00F01AF0"/>
    <w:rsid w:val="00F01E74"/>
    <w:rsid w:val="00F0287C"/>
    <w:rsid w:val="00F028B2"/>
    <w:rsid w:val="00F03291"/>
    <w:rsid w:val="00F035B8"/>
    <w:rsid w:val="00F04539"/>
    <w:rsid w:val="00F054DC"/>
    <w:rsid w:val="00F05997"/>
    <w:rsid w:val="00F07F8C"/>
    <w:rsid w:val="00F105F0"/>
    <w:rsid w:val="00F12787"/>
    <w:rsid w:val="00F12B75"/>
    <w:rsid w:val="00F1401C"/>
    <w:rsid w:val="00F141D0"/>
    <w:rsid w:val="00F1466E"/>
    <w:rsid w:val="00F14F1C"/>
    <w:rsid w:val="00F161A9"/>
    <w:rsid w:val="00F169A9"/>
    <w:rsid w:val="00F17333"/>
    <w:rsid w:val="00F17D1A"/>
    <w:rsid w:val="00F2063B"/>
    <w:rsid w:val="00F222B6"/>
    <w:rsid w:val="00F2275B"/>
    <w:rsid w:val="00F23086"/>
    <w:rsid w:val="00F23968"/>
    <w:rsid w:val="00F24A16"/>
    <w:rsid w:val="00F2600F"/>
    <w:rsid w:val="00F26334"/>
    <w:rsid w:val="00F3020E"/>
    <w:rsid w:val="00F309C5"/>
    <w:rsid w:val="00F324CE"/>
    <w:rsid w:val="00F325F0"/>
    <w:rsid w:val="00F32AA5"/>
    <w:rsid w:val="00F335FA"/>
    <w:rsid w:val="00F34CC5"/>
    <w:rsid w:val="00F34D8A"/>
    <w:rsid w:val="00F360CE"/>
    <w:rsid w:val="00F3680F"/>
    <w:rsid w:val="00F36CF4"/>
    <w:rsid w:val="00F36F00"/>
    <w:rsid w:val="00F372E5"/>
    <w:rsid w:val="00F4214C"/>
    <w:rsid w:val="00F430B7"/>
    <w:rsid w:val="00F434B1"/>
    <w:rsid w:val="00F43B86"/>
    <w:rsid w:val="00F43C85"/>
    <w:rsid w:val="00F45909"/>
    <w:rsid w:val="00F46E39"/>
    <w:rsid w:val="00F470D4"/>
    <w:rsid w:val="00F47BA2"/>
    <w:rsid w:val="00F47D47"/>
    <w:rsid w:val="00F50D5D"/>
    <w:rsid w:val="00F5106B"/>
    <w:rsid w:val="00F51FF0"/>
    <w:rsid w:val="00F531AB"/>
    <w:rsid w:val="00F54E2A"/>
    <w:rsid w:val="00F5690E"/>
    <w:rsid w:val="00F5706F"/>
    <w:rsid w:val="00F5725F"/>
    <w:rsid w:val="00F5758A"/>
    <w:rsid w:val="00F6064D"/>
    <w:rsid w:val="00F61DFE"/>
    <w:rsid w:val="00F62357"/>
    <w:rsid w:val="00F63060"/>
    <w:rsid w:val="00F630EF"/>
    <w:rsid w:val="00F6493B"/>
    <w:rsid w:val="00F649BC"/>
    <w:rsid w:val="00F656BC"/>
    <w:rsid w:val="00F65D3E"/>
    <w:rsid w:val="00F71B14"/>
    <w:rsid w:val="00F72B0D"/>
    <w:rsid w:val="00F73580"/>
    <w:rsid w:val="00F73D4D"/>
    <w:rsid w:val="00F75BB9"/>
    <w:rsid w:val="00F76273"/>
    <w:rsid w:val="00F76589"/>
    <w:rsid w:val="00F772AA"/>
    <w:rsid w:val="00F77BBA"/>
    <w:rsid w:val="00F826B9"/>
    <w:rsid w:val="00F84289"/>
    <w:rsid w:val="00F84597"/>
    <w:rsid w:val="00F84945"/>
    <w:rsid w:val="00F85428"/>
    <w:rsid w:val="00F862F5"/>
    <w:rsid w:val="00F87C1A"/>
    <w:rsid w:val="00F87F5F"/>
    <w:rsid w:val="00F90663"/>
    <w:rsid w:val="00F909EB"/>
    <w:rsid w:val="00F91032"/>
    <w:rsid w:val="00F927F1"/>
    <w:rsid w:val="00F92B2F"/>
    <w:rsid w:val="00F93072"/>
    <w:rsid w:val="00F932FC"/>
    <w:rsid w:val="00F9370A"/>
    <w:rsid w:val="00F93AE9"/>
    <w:rsid w:val="00F93C88"/>
    <w:rsid w:val="00F93EFA"/>
    <w:rsid w:val="00F948A6"/>
    <w:rsid w:val="00F94CC7"/>
    <w:rsid w:val="00F95653"/>
    <w:rsid w:val="00F9585F"/>
    <w:rsid w:val="00F9618A"/>
    <w:rsid w:val="00F96DFD"/>
    <w:rsid w:val="00FA01E8"/>
    <w:rsid w:val="00FA0BF0"/>
    <w:rsid w:val="00FA1DE2"/>
    <w:rsid w:val="00FA398F"/>
    <w:rsid w:val="00FA4208"/>
    <w:rsid w:val="00FA47C7"/>
    <w:rsid w:val="00FA6471"/>
    <w:rsid w:val="00FA7199"/>
    <w:rsid w:val="00FA7D6E"/>
    <w:rsid w:val="00FB0442"/>
    <w:rsid w:val="00FB0641"/>
    <w:rsid w:val="00FB0E55"/>
    <w:rsid w:val="00FB16D5"/>
    <w:rsid w:val="00FB1752"/>
    <w:rsid w:val="00FB183C"/>
    <w:rsid w:val="00FB2ACC"/>
    <w:rsid w:val="00FB3D17"/>
    <w:rsid w:val="00FB47BB"/>
    <w:rsid w:val="00FB5BB8"/>
    <w:rsid w:val="00FB6055"/>
    <w:rsid w:val="00FB68B6"/>
    <w:rsid w:val="00FB6974"/>
    <w:rsid w:val="00FC0122"/>
    <w:rsid w:val="00FC1051"/>
    <w:rsid w:val="00FC1477"/>
    <w:rsid w:val="00FC1F7D"/>
    <w:rsid w:val="00FC20E3"/>
    <w:rsid w:val="00FC216F"/>
    <w:rsid w:val="00FC2C46"/>
    <w:rsid w:val="00FC35B2"/>
    <w:rsid w:val="00FC3766"/>
    <w:rsid w:val="00FC3986"/>
    <w:rsid w:val="00FC7854"/>
    <w:rsid w:val="00FD0FDA"/>
    <w:rsid w:val="00FD21A9"/>
    <w:rsid w:val="00FD234E"/>
    <w:rsid w:val="00FD380C"/>
    <w:rsid w:val="00FD543E"/>
    <w:rsid w:val="00FD55CF"/>
    <w:rsid w:val="00FD6204"/>
    <w:rsid w:val="00FD6E5A"/>
    <w:rsid w:val="00FE04F3"/>
    <w:rsid w:val="00FE12F0"/>
    <w:rsid w:val="00FE18B2"/>
    <w:rsid w:val="00FE23F9"/>
    <w:rsid w:val="00FE2F34"/>
    <w:rsid w:val="00FE592D"/>
    <w:rsid w:val="00FE59BD"/>
    <w:rsid w:val="00FE5DD5"/>
    <w:rsid w:val="00FE6842"/>
    <w:rsid w:val="00FE68DD"/>
    <w:rsid w:val="00FF0243"/>
    <w:rsid w:val="00FF3748"/>
    <w:rsid w:val="00FF4917"/>
    <w:rsid w:val="00FF5578"/>
    <w:rsid w:val="00FF6AA4"/>
    <w:rsid w:val="00FF6B26"/>
    <w:rsid w:val="0FE56B5F"/>
    <w:rsid w:val="15547437"/>
    <w:rsid w:val="26E0651E"/>
    <w:rsid w:val="3056D33D"/>
    <w:rsid w:val="396FF763"/>
    <w:rsid w:val="5EA6354A"/>
    <w:rsid w:val="699EDC2E"/>
    <w:rsid w:val="7156431C"/>
    <w:rsid w:val="7F377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729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D91"/>
    <w:pPr>
      <w:keepNext/>
      <w:keepLines/>
      <w:spacing w:before="240" w:after="0"/>
      <w:outlineLvl w:val="0"/>
    </w:pPr>
    <w:rPr>
      <w:rFonts w:ascii="Century Gothic" w:eastAsiaTheme="majorEastAsia" w:hAnsi="Century Gothic" w:cstheme="majorBidi"/>
      <w:sz w:val="24"/>
      <w:szCs w:val="24"/>
    </w:rPr>
  </w:style>
  <w:style w:type="paragraph" w:styleId="Heading2">
    <w:name w:val="heading 2"/>
    <w:basedOn w:val="Normal"/>
    <w:next w:val="Normal"/>
    <w:link w:val="Heading2Char"/>
    <w:uiPriority w:val="9"/>
    <w:unhideWhenUsed/>
    <w:qFormat/>
    <w:rsid w:val="001230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83B"/>
    <w:rPr>
      <w:rFonts w:ascii="Segoe UI" w:hAnsi="Segoe UI" w:cs="Segoe UI"/>
      <w:sz w:val="18"/>
      <w:szCs w:val="18"/>
    </w:rPr>
  </w:style>
  <w:style w:type="paragraph" w:styleId="ListParagraph">
    <w:name w:val="List Paragraph"/>
    <w:basedOn w:val="Normal"/>
    <w:uiPriority w:val="34"/>
    <w:qFormat/>
    <w:rsid w:val="005711ED"/>
    <w:pPr>
      <w:ind w:left="720"/>
      <w:contextualSpacing/>
    </w:pPr>
  </w:style>
  <w:style w:type="character" w:styleId="Hyperlink">
    <w:name w:val="Hyperlink"/>
    <w:basedOn w:val="DefaultParagraphFont"/>
    <w:uiPriority w:val="99"/>
    <w:unhideWhenUsed/>
    <w:rsid w:val="00E062BB"/>
    <w:rPr>
      <w:strike w:val="0"/>
      <w:dstrike w:val="0"/>
      <w:color w:val="3366CC"/>
      <w:u w:val="none"/>
      <w:effect w:val="none"/>
      <w:shd w:val="clear" w:color="auto" w:fill="auto"/>
    </w:rPr>
  </w:style>
  <w:style w:type="character" w:styleId="UnresolvedMention">
    <w:name w:val="Unresolved Mention"/>
    <w:basedOn w:val="DefaultParagraphFont"/>
    <w:uiPriority w:val="99"/>
    <w:semiHidden/>
    <w:unhideWhenUsed/>
    <w:rsid w:val="00E062BB"/>
    <w:rPr>
      <w:color w:val="605E5C"/>
      <w:shd w:val="clear" w:color="auto" w:fill="E1DFDD"/>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Default">
    <w:name w:val="Default"/>
    <w:rsid w:val="00D22BF3"/>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D64198"/>
    <w:rPr>
      <w:sz w:val="16"/>
      <w:szCs w:val="16"/>
    </w:rPr>
  </w:style>
  <w:style w:type="paragraph" w:styleId="CommentText">
    <w:name w:val="annotation text"/>
    <w:basedOn w:val="Normal"/>
    <w:link w:val="CommentTextChar"/>
    <w:uiPriority w:val="99"/>
    <w:unhideWhenUsed/>
    <w:rsid w:val="00D64198"/>
    <w:pPr>
      <w:spacing w:line="240" w:lineRule="auto"/>
    </w:pPr>
    <w:rPr>
      <w:sz w:val="20"/>
      <w:szCs w:val="20"/>
    </w:rPr>
  </w:style>
  <w:style w:type="character" w:customStyle="1" w:styleId="CommentTextChar">
    <w:name w:val="Comment Text Char"/>
    <w:basedOn w:val="DefaultParagraphFont"/>
    <w:link w:val="CommentText"/>
    <w:uiPriority w:val="99"/>
    <w:rsid w:val="00D64198"/>
    <w:rPr>
      <w:sz w:val="20"/>
      <w:szCs w:val="20"/>
    </w:rPr>
  </w:style>
  <w:style w:type="paragraph" w:styleId="CommentSubject">
    <w:name w:val="annotation subject"/>
    <w:basedOn w:val="CommentText"/>
    <w:next w:val="CommentText"/>
    <w:link w:val="CommentSubjectChar"/>
    <w:uiPriority w:val="99"/>
    <w:semiHidden/>
    <w:unhideWhenUsed/>
    <w:rsid w:val="00D64198"/>
    <w:rPr>
      <w:b/>
      <w:bCs/>
    </w:rPr>
  </w:style>
  <w:style w:type="character" w:customStyle="1" w:styleId="CommentSubjectChar">
    <w:name w:val="Comment Subject Char"/>
    <w:basedOn w:val="CommentTextChar"/>
    <w:link w:val="CommentSubject"/>
    <w:uiPriority w:val="99"/>
    <w:semiHidden/>
    <w:rsid w:val="00D64198"/>
    <w:rPr>
      <w:b/>
      <w:bCs/>
      <w:sz w:val="20"/>
      <w:szCs w:val="20"/>
    </w:rPr>
  </w:style>
  <w:style w:type="character" w:styleId="FollowedHyperlink">
    <w:name w:val="FollowedHyperlink"/>
    <w:basedOn w:val="DefaultParagraphFont"/>
    <w:uiPriority w:val="99"/>
    <w:semiHidden/>
    <w:unhideWhenUsed/>
    <w:rsid w:val="008A51DC"/>
    <w:rPr>
      <w:color w:val="954F72" w:themeColor="followedHyperlink"/>
      <w:u w:val="single"/>
    </w:rPr>
  </w:style>
  <w:style w:type="paragraph" w:styleId="FootnoteText">
    <w:name w:val="footnote text"/>
    <w:basedOn w:val="Normal"/>
    <w:link w:val="FootnoteTextChar"/>
    <w:uiPriority w:val="99"/>
    <w:unhideWhenUsed/>
    <w:rsid w:val="008A51DC"/>
    <w:pPr>
      <w:spacing w:after="0" w:line="240" w:lineRule="auto"/>
    </w:pPr>
    <w:rPr>
      <w:sz w:val="20"/>
      <w:szCs w:val="20"/>
    </w:rPr>
  </w:style>
  <w:style w:type="character" w:customStyle="1" w:styleId="FootnoteTextChar">
    <w:name w:val="Footnote Text Char"/>
    <w:basedOn w:val="DefaultParagraphFont"/>
    <w:link w:val="FootnoteText"/>
    <w:uiPriority w:val="99"/>
    <w:rsid w:val="008A51DC"/>
    <w:rPr>
      <w:sz w:val="20"/>
      <w:szCs w:val="20"/>
    </w:rPr>
  </w:style>
  <w:style w:type="character" w:styleId="FootnoteReference">
    <w:name w:val="footnote reference"/>
    <w:basedOn w:val="DefaultParagraphFont"/>
    <w:uiPriority w:val="99"/>
    <w:semiHidden/>
    <w:unhideWhenUsed/>
    <w:rsid w:val="008A51DC"/>
    <w:rPr>
      <w:vertAlign w:val="superscript"/>
    </w:rPr>
  </w:style>
  <w:style w:type="character" w:customStyle="1" w:styleId="Heading1Char">
    <w:name w:val="Heading 1 Char"/>
    <w:basedOn w:val="DefaultParagraphFont"/>
    <w:link w:val="Heading1"/>
    <w:uiPriority w:val="9"/>
    <w:rsid w:val="00130D91"/>
    <w:rPr>
      <w:rFonts w:ascii="Century Gothic" w:eastAsiaTheme="majorEastAsia" w:hAnsi="Century Gothic" w:cstheme="majorBidi"/>
      <w:sz w:val="24"/>
      <w:szCs w:val="24"/>
    </w:rPr>
  </w:style>
  <w:style w:type="paragraph" w:customStyle="1" w:styleId="paragraph">
    <w:name w:val="paragraph"/>
    <w:basedOn w:val="Normal"/>
    <w:rsid w:val="008921B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8921BD"/>
  </w:style>
  <w:style w:type="character" w:customStyle="1" w:styleId="eop">
    <w:name w:val="eop"/>
    <w:basedOn w:val="DefaultParagraphFont"/>
    <w:rsid w:val="008921BD"/>
  </w:style>
  <w:style w:type="paragraph" w:styleId="TOCHeading">
    <w:name w:val="TOC Heading"/>
    <w:basedOn w:val="Heading1"/>
    <w:next w:val="Normal"/>
    <w:uiPriority w:val="39"/>
    <w:unhideWhenUsed/>
    <w:qFormat/>
    <w:rsid w:val="009B394C"/>
    <w:pPr>
      <w:outlineLvl w:val="9"/>
    </w:pPr>
  </w:style>
  <w:style w:type="paragraph" w:styleId="TOC1">
    <w:name w:val="toc 1"/>
    <w:basedOn w:val="Normal"/>
    <w:next w:val="Normal"/>
    <w:autoRedefine/>
    <w:uiPriority w:val="39"/>
    <w:unhideWhenUsed/>
    <w:rsid w:val="00716E41"/>
    <w:pPr>
      <w:spacing w:after="100"/>
    </w:pPr>
    <w:rPr>
      <w:rFonts w:ascii="Century Gothic" w:hAnsi="Century Gothic"/>
    </w:rPr>
  </w:style>
  <w:style w:type="character" w:customStyle="1" w:styleId="Heading2Char">
    <w:name w:val="Heading 2 Char"/>
    <w:basedOn w:val="DefaultParagraphFont"/>
    <w:link w:val="Heading2"/>
    <w:uiPriority w:val="9"/>
    <w:rsid w:val="001230D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96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82070">
      <w:bodyDiv w:val="1"/>
      <w:marLeft w:val="0"/>
      <w:marRight w:val="0"/>
      <w:marTop w:val="0"/>
      <w:marBottom w:val="0"/>
      <w:divBdr>
        <w:top w:val="none" w:sz="0" w:space="0" w:color="auto"/>
        <w:left w:val="none" w:sz="0" w:space="0" w:color="auto"/>
        <w:bottom w:val="none" w:sz="0" w:space="0" w:color="auto"/>
        <w:right w:val="none" w:sz="0" w:space="0" w:color="auto"/>
      </w:divBdr>
    </w:div>
    <w:div w:id="1625699377">
      <w:bodyDiv w:val="1"/>
      <w:marLeft w:val="0"/>
      <w:marRight w:val="0"/>
      <w:marTop w:val="0"/>
      <w:marBottom w:val="0"/>
      <w:divBdr>
        <w:top w:val="none" w:sz="0" w:space="0" w:color="auto"/>
        <w:left w:val="none" w:sz="0" w:space="0" w:color="auto"/>
        <w:bottom w:val="none" w:sz="0" w:space="0" w:color="auto"/>
        <w:right w:val="none" w:sz="0" w:space="0" w:color="auto"/>
      </w:divBdr>
    </w:div>
    <w:div w:id="17473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puc.ca.gov/PublishedDocs/Published/G000/M296/K577/296577466.PDF"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cpuc.ca.gov/WSAB/" TargetMode="External"/><Relationship Id="rId17" Type="http://schemas.openxmlformats.org/officeDocument/2006/relationships/image" Target="media/image6.sv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sv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youtu.be/vEHNRANBLGY" TargetMode="External"/><Relationship Id="rId2" Type="http://schemas.openxmlformats.org/officeDocument/2006/relationships/hyperlink" Target="http://docs.cpuc.ca.gov/PublishedDocs/Efile/G000/M322/K133/322133494.PDF" TargetMode="External"/><Relationship Id="rId1" Type="http://schemas.openxmlformats.org/officeDocument/2006/relationships/hyperlink" Target="http://docs.cpuc.ca.gov/PublishedDocs/Efile/G000/M322/K150/32215048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092C-026B-47D8-929C-82DF2A78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10099</Words>
  <Characters>57567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67531</CharactersWithSpaces>
  <SharedDoc>false</SharedDoc>
  <HLinks>
    <vt:vector size="96" baseType="variant">
      <vt:variant>
        <vt:i4>1310775</vt:i4>
      </vt:variant>
      <vt:variant>
        <vt:i4>68</vt:i4>
      </vt:variant>
      <vt:variant>
        <vt:i4>0</vt:i4>
      </vt:variant>
      <vt:variant>
        <vt:i4>5</vt:i4>
      </vt:variant>
      <vt:variant>
        <vt:lpwstr/>
      </vt:variant>
      <vt:variant>
        <vt:lpwstr>_Toc36564754</vt:lpwstr>
      </vt:variant>
      <vt:variant>
        <vt:i4>1245239</vt:i4>
      </vt:variant>
      <vt:variant>
        <vt:i4>62</vt:i4>
      </vt:variant>
      <vt:variant>
        <vt:i4>0</vt:i4>
      </vt:variant>
      <vt:variant>
        <vt:i4>5</vt:i4>
      </vt:variant>
      <vt:variant>
        <vt:lpwstr/>
      </vt:variant>
      <vt:variant>
        <vt:lpwstr>_Toc36564753</vt:lpwstr>
      </vt:variant>
      <vt:variant>
        <vt:i4>1179703</vt:i4>
      </vt:variant>
      <vt:variant>
        <vt:i4>56</vt:i4>
      </vt:variant>
      <vt:variant>
        <vt:i4>0</vt:i4>
      </vt:variant>
      <vt:variant>
        <vt:i4>5</vt:i4>
      </vt:variant>
      <vt:variant>
        <vt:lpwstr/>
      </vt:variant>
      <vt:variant>
        <vt:lpwstr>_Toc36564752</vt:lpwstr>
      </vt:variant>
      <vt:variant>
        <vt:i4>1114167</vt:i4>
      </vt:variant>
      <vt:variant>
        <vt:i4>50</vt:i4>
      </vt:variant>
      <vt:variant>
        <vt:i4>0</vt:i4>
      </vt:variant>
      <vt:variant>
        <vt:i4>5</vt:i4>
      </vt:variant>
      <vt:variant>
        <vt:lpwstr/>
      </vt:variant>
      <vt:variant>
        <vt:lpwstr>_Toc36564751</vt:lpwstr>
      </vt:variant>
      <vt:variant>
        <vt:i4>1048631</vt:i4>
      </vt:variant>
      <vt:variant>
        <vt:i4>44</vt:i4>
      </vt:variant>
      <vt:variant>
        <vt:i4>0</vt:i4>
      </vt:variant>
      <vt:variant>
        <vt:i4>5</vt:i4>
      </vt:variant>
      <vt:variant>
        <vt:lpwstr/>
      </vt:variant>
      <vt:variant>
        <vt:lpwstr>_Toc36564750</vt:lpwstr>
      </vt:variant>
      <vt:variant>
        <vt:i4>1638454</vt:i4>
      </vt:variant>
      <vt:variant>
        <vt:i4>38</vt:i4>
      </vt:variant>
      <vt:variant>
        <vt:i4>0</vt:i4>
      </vt:variant>
      <vt:variant>
        <vt:i4>5</vt:i4>
      </vt:variant>
      <vt:variant>
        <vt:lpwstr/>
      </vt:variant>
      <vt:variant>
        <vt:lpwstr>_Toc36564749</vt:lpwstr>
      </vt:variant>
      <vt:variant>
        <vt:i4>1572918</vt:i4>
      </vt:variant>
      <vt:variant>
        <vt:i4>32</vt:i4>
      </vt:variant>
      <vt:variant>
        <vt:i4>0</vt:i4>
      </vt:variant>
      <vt:variant>
        <vt:i4>5</vt:i4>
      </vt:variant>
      <vt:variant>
        <vt:lpwstr/>
      </vt:variant>
      <vt:variant>
        <vt:lpwstr>_Toc36564748</vt:lpwstr>
      </vt:variant>
      <vt:variant>
        <vt:i4>1507382</vt:i4>
      </vt:variant>
      <vt:variant>
        <vt:i4>26</vt:i4>
      </vt:variant>
      <vt:variant>
        <vt:i4>0</vt:i4>
      </vt:variant>
      <vt:variant>
        <vt:i4>5</vt:i4>
      </vt:variant>
      <vt:variant>
        <vt:lpwstr/>
      </vt:variant>
      <vt:variant>
        <vt:lpwstr>_Toc36564747</vt:lpwstr>
      </vt:variant>
      <vt:variant>
        <vt:i4>1441846</vt:i4>
      </vt:variant>
      <vt:variant>
        <vt:i4>20</vt:i4>
      </vt:variant>
      <vt:variant>
        <vt:i4>0</vt:i4>
      </vt:variant>
      <vt:variant>
        <vt:i4>5</vt:i4>
      </vt:variant>
      <vt:variant>
        <vt:lpwstr/>
      </vt:variant>
      <vt:variant>
        <vt:lpwstr>_Toc36564746</vt:lpwstr>
      </vt:variant>
      <vt:variant>
        <vt:i4>1376310</vt:i4>
      </vt:variant>
      <vt:variant>
        <vt:i4>14</vt:i4>
      </vt:variant>
      <vt:variant>
        <vt:i4>0</vt:i4>
      </vt:variant>
      <vt:variant>
        <vt:i4>5</vt:i4>
      </vt:variant>
      <vt:variant>
        <vt:lpwstr/>
      </vt:variant>
      <vt:variant>
        <vt:lpwstr>_Toc36564745</vt:lpwstr>
      </vt:variant>
      <vt:variant>
        <vt:i4>1310774</vt:i4>
      </vt:variant>
      <vt:variant>
        <vt:i4>8</vt:i4>
      </vt:variant>
      <vt:variant>
        <vt:i4>0</vt:i4>
      </vt:variant>
      <vt:variant>
        <vt:i4>5</vt:i4>
      </vt:variant>
      <vt:variant>
        <vt:lpwstr/>
      </vt:variant>
      <vt:variant>
        <vt:lpwstr>_Toc36564744</vt:lpwstr>
      </vt:variant>
      <vt:variant>
        <vt:i4>4521993</vt:i4>
      </vt:variant>
      <vt:variant>
        <vt:i4>3</vt:i4>
      </vt:variant>
      <vt:variant>
        <vt:i4>0</vt:i4>
      </vt:variant>
      <vt:variant>
        <vt:i4>5</vt:i4>
      </vt:variant>
      <vt:variant>
        <vt:lpwstr>http://docs.cpuc.ca.gov/PublishedDocs/Published/G000/M296/K577/296577466.PDF</vt:lpwstr>
      </vt:variant>
      <vt:variant>
        <vt:lpwstr/>
      </vt:variant>
      <vt:variant>
        <vt:i4>4653086</vt:i4>
      </vt:variant>
      <vt:variant>
        <vt:i4>0</vt:i4>
      </vt:variant>
      <vt:variant>
        <vt:i4>0</vt:i4>
      </vt:variant>
      <vt:variant>
        <vt:i4>5</vt:i4>
      </vt:variant>
      <vt:variant>
        <vt:lpwstr>https://www.cpuc.ca.gov/WSAB/</vt:lpwstr>
      </vt:variant>
      <vt:variant>
        <vt:lpwstr/>
      </vt:variant>
      <vt:variant>
        <vt:i4>5636123</vt:i4>
      </vt:variant>
      <vt:variant>
        <vt:i4>6</vt:i4>
      </vt:variant>
      <vt:variant>
        <vt:i4>0</vt:i4>
      </vt:variant>
      <vt:variant>
        <vt:i4>5</vt:i4>
      </vt:variant>
      <vt:variant>
        <vt:lpwstr>https://youtu.be/vEHNRANBLGY</vt:lpwstr>
      </vt:variant>
      <vt:variant>
        <vt:lpwstr/>
      </vt:variant>
      <vt:variant>
        <vt:i4>4718610</vt:i4>
      </vt:variant>
      <vt:variant>
        <vt:i4>3</vt:i4>
      </vt:variant>
      <vt:variant>
        <vt:i4>0</vt:i4>
      </vt:variant>
      <vt:variant>
        <vt:i4>5</vt:i4>
      </vt:variant>
      <vt:variant>
        <vt:lpwstr>http://docs.cpuc.ca.gov/PublishedDocs/Efile/G000/M322/K133/322133494.PDF</vt:lpwstr>
      </vt:variant>
      <vt:variant>
        <vt:lpwstr/>
      </vt:variant>
      <vt:variant>
        <vt:i4>4259862</vt:i4>
      </vt:variant>
      <vt:variant>
        <vt:i4>0</vt:i4>
      </vt:variant>
      <vt:variant>
        <vt:i4>0</vt:i4>
      </vt:variant>
      <vt:variant>
        <vt:i4>5</vt:i4>
      </vt:variant>
      <vt:variant>
        <vt:lpwstr>http://docs.cpuc.ca.gov/PublishedDocs/Efile/G000/M322/K150/322150488.PDF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2020-04-14T00:43:00Z</dcterms:created>
  <dcterms:modified xsi:type="dcterms:W3CDTF">2020-04-14T00:43:00Z</dcterms:modified>
</cp:coreProperties>
</file>