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E364B" w:rsidR="007446B6" w:rsidP="007446B6" w:rsidRDefault="007446B6" w14:paraId="14CE2C4D" w14:textId="2F953A76">
      <w:pPr>
        <w:jc w:val="center"/>
        <w:rPr>
          <w:rFonts w:asciiTheme="minorHAnsi" w:hAnsiTheme="minorHAnsi" w:cstheme="minorHAnsi"/>
          <w:b/>
          <w:bCs/>
          <w:szCs w:val="26"/>
        </w:rPr>
      </w:pPr>
      <w:r w:rsidRPr="004E364B">
        <w:rPr>
          <w:rFonts w:asciiTheme="minorHAnsi" w:hAnsiTheme="minorHAnsi" w:cstheme="minorHAnsi"/>
          <w:b/>
          <w:bCs/>
          <w:szCs w:val="26"/>
        </w:rPr>
        <w:t>PUBLIC UTILITIES COMMISSION OF THE STATE OF CALIFORNIA</w:t>
      </w:r>
    </w:p>
    <w:p w:rsidRPr="00E013FB" w:rsidR="007446B6" w:rsidP="00E013FB" w:rsidRDefault="007446B6" w14:paraId="61FBD8FC" w14:textId="15C037B5">
      <w:pPr>
        <w:ind w:left="3240"/>
        <w:rPr>
          <w:rFonts w:cstheme="minorHAnsi"/>
          <w:szCs w:val="26"/>
        </w:rPr>
      </w:pPr>
    </w:p>
    <w:p w:rsidR="00E013FB" w:rsidP="00E013FB" w:rsidRDefault="00E013FB" w14:paraId="4D5A61A5" w14:textId="29E8E658">
      <w:pPr>
        <w:ind w:left="3240"/>
        <w:rPr>
          <w:rFonts w:cstheme="minorHAnsi"/>
          <w:szCs w:val="26"/>
        </w:rPr>
      </w:pPr>
      <w:r w:rsidRPr="00E013FB">
        <w:rPr>
          <w:rFonts w:cstheme="minorHAnsi"/>
          <w:szCs w:val="26"/>
        </w:rPr>
        <w:t xml:space="preserve">Wildfire Safety Division </w:t>
      </w:r>
    </w:p>
    <w:p w:rsidRPr="00E013FB" w:rsidR="007446B6" w:rsidP="00E013FB" w:rsidRDefault="00E013FB" w14:paraId="0A25CD69" w14:textId="13228FEC">
      <w:pPr>
        <w:ind w:left="3240"/>
        <w:rPr>
          <w:rFonts w:cstheme="minorHAnsi"/>
          <w:szCs w:val="26"/>
        </w:rPr>
      </w:pPr>
      <w:r w:rsidRPr="00E013FB">
        <w:rPr>
          <w:rFonts w:cstheme="minorHAnsi"/>
          <w:szCs w:val="26"/>
        </w:rPr>
        <w:t xml:space="preserve">Resolution </w:t>
      </w:r>
      <w:r w:rsidRPr="00E013FB" w:rsidR="0011395B">
        <w:rPr>
          <w:rFonts w:cstheme="minorHAnsi"/>
          <w:szCs w:val="26"/>
        </w:rPr>
        <w:t>WSD</w:t>
      </w:r>
      <w:r w:rsidRPr="00E013FB" w:rsidR="001108DF">
        <w:rPr>
          <w:rFonts w:cstheme="minorHAnsi"/>
          <w:szCs w:val="26"/>
        </w:rPr>
        <w:t>-</w:t>
      </w:r>
      <w:r w:rsidRPr="00E013FB" w:rsidR="00256151">
        <w:rPr>
          <w:rFonts w:cstheme="minorHAnsi"/>
          <w:szCs w:val="26"/>
        </w:rPr>
        <w:t>011</w:t>
      </w:r>
    </w:p>
    <w:p w:rsidRPr="00E013FB" w:rsidR="007446B6" w:rsidP="00E013FB" w:rsidRDefault="004163B8" w14:paraId="7CFC15D7" w14:textId="55A7F862">
      <w:pPr>
        <w:ind w:left="3240"/>
        <w:rPr>
          <w:rFonts w:cstheme="minorHAnsi"/>
          <w:szCs w:val="26"/>
        </w:rPr>
      </w:pPr>
      <w:r>
        <w:rPr>
          <w:rFonts w:cstheme="minorHAnsi"/>
          <w:szCs w:val="26"/>
        </w:rPr>
        <w:t>November 19, 2020</w:t>
      </w:r>
    </w:p>
    <w:p w:rsidRPr="004E364B" w:rsidR="007446B6" w:rsidP="007446B6" w:rsidRDefault="007446B6" w14:paraId="3A4605E6" w14:textId="2B5D1DE6">
      <w:pPr>
        <w:tabs>
          <w:tab w:val="right" w:pos="9360"/>
        </w:tabs>
        <w:rPr>
          <w:rFonts w:asciiTheme="minorHAnsi" w:hAnsiTheme="minorHAnsi" w:cstheme="minorHAnsi"/>
          <w:szCs w:val="26"/>
        </w:rPr>
      </w:pPr>
    </w:p>
    <w:p w:rsidRPr="00E013FB" w:rsidR="007446B6" w:rsidP="0011395B" w:rsidRDefault="007446B6" w14:paraId="0D428B41" w14:textId="6AB8C856">
      <w:pPr>
        <w:pStyle w:val="Mainex"/>
        <w:rPr>
          <w:rFonts w:cs="Arial"/>
          <w:szCs w:val="26"/>
          <w:u w:val="single"/>
        </w:rPr>
      </w:pPr>
      <w:r w:rsidRPr="00E013FB">
        <w:rPr>
          <w:rFonts w:cs="Arial"/>
          <w:szCs w:val="26"/>
          <w:u w:val="single"/>
        </w:rPr>
        <w:t>Resolution</w:t>
      </w:r>
    </w:p>
    <w:p w:rsidRPr="00FD7120" w:rsidR="00FD7120" w:rsidP="00FD7120" w:rsidRDefault="00FD7120" w14:paraId="65235896" w14:textId="33FE1EFE">
      <w:pPr>
        <w:pStyle w:val="Heading1"/>
        <w:pBdr>
          <w:bottom w:val="single" w:color="auto" w:sz="12" w:space="1"/>
        </w:pBdr>
        <w:spacing w:after="120"/>
        <w:ind w:left="1080" w:right="630"/>
        <w:rPr>
          <w:rFonts w:ascii="Book Antiqua" w:hAnsi="Book Antiqua" w:eastAsia="Calibri" w:cs="Times New Roman"/>
          <w:b w:val="0"/>
          <w:caps w:val="0"/>
          <w:szCs w:val="26"/>
          <w:u w:val="none"/>
        </w:rPr>
      </w:pPr>
      <w:bookmarkStart w:name="_Hlk53408509" w:id="0"/>
      <w:r w:rsidRPr="00FD7120">
        <w:rPr>
          <w:rFonts w:ascii="Book Antiqua" w:hAnsi="Book Antiqua" w:eastAsia="Calibri" w:cs="Times New Roman"/>
          <w:b w:val="0"/>
          <w:caps w:val="0"/>
          <w:szCs w:val="26"/>
          <w:u w:val="none"/>
        </w:rPr>
        <w:t xml:space="preserve">Resolution WSD-011. </w:t>
      </w:r>
      <w:r>
        <w:rPr>
          <w:rFonts w:ascii="Book Antiqua" w:hAnsi="Book Antiqua" w:eastAsia="Calibri" w:cs="Times New Roman"/>
          <w:b w:val="0"/>
          <w:caps w:val="0"/>
          <w:szCs w:val="26"/>
          <w:u w:val="none"/>
        </w:rPr>
        <w:t>Resolution i</w:t>
      </w:r>
      <w:r w:rsidRPr="00FD7120">
        <w:rPr>
          <w:rFonts w:ascii="Book Antiqua" w:hAnsi="Book Antiqua" w:eastAsia="Calibri" w:cs="Times New Roman"/>
          <w:b w:val="0"/>
          <w:caps w:val="0"/>
          <w:szCs w:val="26"/>
          <w:u w:val="none"/>
        </w:rPr>
        <w:t>mplementing the requirements of Public Utilities Code Sections 8389(d)(1), (2) and (4), related to catastrophic wildfire caused by electrical corporations subject to the Commission’s regulatory authority.</w:t>
      </w:r>
    </w:p>
    <w:bookmarkEnd w:id="0"/>
    <w:p w:rsidRPr="00E013FB" w:rsidR="00C31AA8" w:rsidP="00FD7120" w:rsidRDefault="00C31AA8" w14:paraId="2D0C68B9" w14:textId="78A48A94">
      <w:pPr>
        <w:pStyle w:val="Heading1"/>
        <w:spacing w:before="240" w:after="120"/>
        <w:rPr>
          <w:rFonts w:ascii="Book Antiqua" w:hAnsi="Book Antiqua" w:cstheme="minorHAnsi"/>
          <w:b w:val="0"/>
          <w:szCs w:val="26"/>
          <w:u w:val="none"/>
        </w:rPr>
      </w:pPr>
      <w:r w:rsidRPr="00E013FB">
        <w:rPr>
          <w:rFonts w:ascii="Book Antiqua" w:hAnsi="Book Antiqua" w:cstheme="minorHAnsi"/>
          <w:b w:val="0"/>
          <w:szCs w:val="26"/>
          <w:u w:val="none"/>
        </w:rPr>
        <w:t>SUMMARY</w:t>
      </w:r>
      <w:r w:rsidRPr="00E013FB" w:rsidR="003431AF">
        <w:rPr>
          <w:rFonts w:ascii="Book Antiqua" w:hAnsi="Book Antiqua" w:cstheme="minorHAnsi"/>
          <w:b w:val="0"/>
          <w:szCs w:val="26"/>
          <w:u w:val="none"/>
        </w:rPr>
        <w:t>:</w:t>
      </w:r>
    </w:p>
    <w:p w:rsidRPr="00E013FB" w:rsidR="001253F9" w:rsidP="00E013FB" w:rsidRDefault="00DD17EB" w14:paraId="23EE0B5A" w14:textId="44DBE985">
      <w:pPr>
        <w:pStyle w:val="Res-Caption"/>
        <w:spacing w:after="240"/>
        <w:ind w:left="0" w:right="0"/>
        <w:rPr>
          <w:rFonts w:ascii="Book Antiqua" w:hAnsi="Book Antiqua" w:cstheme="minorHAnsi"/>
          <w:szCs w:val="26"/>
        </w:rPr>
      </w:pPr>
      <w:r w:rsidRPr="00E013FB">
        <w:rPr>
          <w:rFonts w:ascii="Book Antiqua" w:hAnsi="Book Antiqua" w:cstheme="minorHAnsi"/>
          <w:szCs w:val="26"/>
        </w:rPr>
        <w:t xml:space="preserve">This Resolution </w:t>
      </w:r>
      <w:r w:rsidRPr="00E013FB" w:rsidR="004C622B">
        <w:rPr>
          <w:rFonts w:ascii="Book Antiqua" w:hAnsi="Book Antiqua" w:cstheme="minorHAnsi"/>
          <w:szCs w:val="26"/>
        </w:rPr>
        <w:t xml:space="preserve">implements the requirements of </w:t>
      </w:r>
      <w:r w:rsidRPr="00E013FB" w:rsidR="009B094B">
        <w:rPr>
          <w:rFonts w:ascii="Book Antiqua" w:hAnsi="Book Antiqua" w:cstheme="minorHAnsi"/>
          <w:szCs w:val="26"/>
        </w:rPr>
        <w:t>Public Utilities Code</w:t>
      </w:r>
      <w:r w:rsidRPr="00E013FB" w:rsidR="008B6903">
        <w:rPr>
          <w:rFonts w:ascii="Book Antiqua" w:hAnsi="Book Antiqua" w:cstheme="minorHAnsi"/>
          <w:szCs w:val="26"/>
        </w:rPr>
        <w:t xml:space="preserve"> </w:t>
      </w:r>
      <w:r w:rsidRPr="00E013FB" w:rsidR="001557A2">
        <w:rPr>
          <w:rFonts w:ascii="Book Antiqua" w:hAnsi="Book Antiqua" w:cstheme="minorHAnsi"/>
          <w:szCs w:val="26"/>
        </w:rPr>
        <w:t>Sections</w:t>
      </w:r>
      <w:r w:rsidRPr="00E013FB" w:rsidR="007F2779">
        <w:rPr>
          <w:rFonts w:ascii="Book Antiqua" w:hAnsi="Book Antiqua" w:cstheme="minorHAnsi"/>
          <w:szCs w:val="26"/>
        </w:rPr>
        <w:t xml:space="preserve"> </w:t>
      </w:r>
      <w:r w:rsidRPr="00E013FB" w:rsidR="003C694B">
        <w:rPr>
          <w:rFonts w:ascii="Book Antiqua" w:hAnsi="Book Antiqua" w:cstheme="minorHAnsi"/>
          <w:szCs w:val="26"/>
        </w:rPr>
        <w:t>838</w:t>
      </w:r>
      <w:r w:rsidRPr="00E013FB" w:rsidR="009B094B">
        <w:rPr>
          <w:rFonts w:ascii="Book Antiqua" w:hAnsi="Book Antiqua" w:cstheme="minorHAnsi"/>
          <w:szCs w:val="26"/>
        </w:rPr>
        <w:t>9(d)</w:t>
      </w:r>
      <w:r w:rsidRPr="00E013FB" w:rsidR="004C622B">
        <w:rPr>
          <w:rFonts w:ascii="Book Antiqua" w:hAnsi="Book Antiqua" w:cstheme="minorHAnsi"/>
          <w:szCs w:val="26"/>
        </w:rPr>
        <w:t>(1), (2) and (4), related to catastrophic wildfire caused by electrical corporations subject to the Commission’s regulatory authority</w:t>
      </w:r>
      <w:r w:rsidRPr="00E013FB" w:rsidR="0011395B">
        <w:rPr>
          <w:rFonts w:ascii="Book Antiqua" w:hAnsi="Book Antiqua" w:cstheme="minorHAnsi"/>
          <w:szCs w:val="26"/>
        </w:rPr>
        <w:t>.</w:t>
      </w:r>
      <w:r w:rsidRPr="00E013FB" w:rsidR="0011395B">
        <w:rPr>
          <w:rStyle w:val="FootnoteReference"/>
          <w:rFonts w:ascii="Book Antiqua" w:hAnsi="Book Antiqua" w:cstheme="minorHAnsi"/>
          <w:szCs w:val="26"/>
        </w:rPr>
        <w:footnoteReference w:id="2"/>
      </w:r>
      <w:r w:rsidRPr="00E013FB" w:rsidR="0011395B">
        <w:rPr>
          <w:rFonts w:ascii="Book Antiqua" w:hAnsi="Book Antiqua" w:cstheme="minorHAnsi"/>
          <w:szCs w:val="26"/>
        </w:rPr>
        <w:t xml:space="preserve">  </w:t>
      </w:r>
      <w:r w:rsidRPr="00E013FB" w:rsidR="001253F9">
        <w:rPr>
          <w:rFonts w:ascii="Book Antiqua" w:hAnsi="Book Antiqua" w:cstheme="minorHAnsi"/>
          <w:szCs w:val="26"/>
        </w:rPr>
        <w:t>The statute requires the following:</w:t>
      </w:r>
    </w:p>
    <w:p w:rsidRPr="00E013FB" w:rsidR="001253F9" w:rsidP="00E013FB" w:rsidRDefault="001253F9" w14:paraId="78697B8C" w14:textId="439A70D4">
      <w:pPr>
        <w:pStyle w:val="BlockQuote"/>
        <w:ind w:right="1440"/>
      </w:pPr>
      <w:r w:rsidRPr="00E013FB">
        <w:t xml:space="preserve">(d) By December 1, 2020, and annually thereafter, the </w:t>
      </w:r>
      <w:r w:rsidRPr="00E013FB" w:rsidR="007F2779">
        <w:t>[C]</w:t>
      </w:r>
      <w:r w:rsidRPr="00E013FB">
        <w:t xml:space="preserve">ommission, after consultation with the </w:t>
      </w:r>
      <w:r w:rsidRPr="00E013FB" w:rsidR="007F2779">
        <w:t xml:space="preserve">[Wildfire Safety </w:t>
      </w:r>
      <w:r w:rsidR="00E013FB">
        <w:t>[</w:t>
      </w:r>
      <w:r w:rsidRPr="00E013FB" w:rsidR="007F2779">
        <w:t>D]</w:t>
      </w:r>
      <w:r w:rsidRPr="00E013FB">
        <w:t>ivision</w:t>
      </w:r>
      <w:r w:rsidRPr="00E013FB" w:rsidR="00A046AA">
        <w:t>]</w:t>
      </w:r>
      <w:r w:rsidRPr="00E013FB">
        <w:t>, shall adopt and approve all of the following:</w:t>
      </w:r>
    </w:p>
    <w:p w:rsidRPr="00E013FB" w:rsidR="001253F9" w:rsidP="00E013FB" w:rsidRDefault="001253F9" w14:paraId="01B5AE56" w14:textId="77777777">
      <w:pPr>
        <w:pStyle w:val="Res-Caption"/>
        <w:spacing w:after="120"/>
        <w:ind w:left="1440" w:right="1440" w:hanging="360"/>
        <w:rPr>
          <w:rFonts w:ascii="Book Antiqua" w:hAnsi="Book Antiqua" w:cstheme="minorHAnsi"/>
          <w:szCs w:val="26"/>
        </w:rPr>
      </w:pPr>
      <w:r w:rsidRPr="00E013FB">
        <w:rPr>
          <w:rFonts w:ascii="Book Antiqua" w:hAnsi="Book Antiqua" w:cstheme="minorHAnsi"/>
          <w:szCs w:val="26"/>
        </w:rPr>
        <w:t>(1) Performance metrics for electrical corporations.</w:t>
      </w:r>
    </w:p>
    <w:p w:rsidRPr="00E013FB" w:rsidR="001253F9" w:rsidP="00E013FB" w:rsidRDefault="001253F9" w14:paraId="31EDD21D" w14:textId="7C6CA54F">
      <w:pPr>
        <w:pStyle w:val="Res-Caption"/>
        <w:spacing w:after="120"/>
        <w:ind w:left="1440" w:right="1440" w:hanging="360"/>
        <w:rPr>
          <w:rFonts w:ascii="Book Antiqua" w:hAnsi="Book Antiqua" w:cstheme="minorHAnsi"/>
          <w:szCs w:val="26"/>
        </w:rPr>
      </w:pPr>
      <w:r w:rsidRPr="00E013FB">
        <w:rPr>
          <w:rFonts w:ascii="Book Antiqua" w:hAnsi="Book Antiqua" w:cstheme="minorHAnsi"/>
          <w:szCs w:val="26"/>
        </w:rPr>
        <w:t>(2) Additional requirements for wildfire mitigation plans</w:t>
      </w:r>
      <w:r w:rsidR="00E013FB">
        <w:rPr>
          <w:rFonts w:ascii="Book Antiqua" w:hAnsi="Book Antiqua" w:cstheme="minorHAnsi"/>
          <w:szCs w:val="26"/>
        </w:rPr>
        <w:t>.</w:t>
      </w:r>
    </w:p>
    <w:p w:rsidRPr="00E013FB" w:rsidR="001253F9" w:rsidP="00E013FB" w:rsidRDefault="001253F9" w14:paraId="72C40078" w14:textId="0690083D">
      <w:pPr>
        <w:pStyle w:val="Res-Caption"/>
        <w:spacing w:after="120"/>
        <w:ind w:left="1440" w:right="1440" w:hanging="360"/>
        <w:rPr>
          <w:rFonts w:ascii="Book Antiqua" w:hAnsi="Book Antiqua" w:cstheme="minorHAnsi"/>
          <w:szCs w:val="26"/>
        </w:rPr>
      </w:pPr>
      <w:r w:rsidRPr="00E013FB">
        <w:rPr>
          <w:rFonts w:ascii="Book Antiqua" w:hAnsi="Book Antiqua" w:cstheme="minorHAnsi"/>
          <w:szCs w:val="26"/>
        </w:rPr>
        <w:t>(4) A process for the division to conduct annual safety culture assessments for each electrical corporation.</w:t>
      </w:r>
    </w:p>
    <w:p w:rsidRPr="00E013FB" w:rsidR="003C694B" w:rsidP="00E013FB" w:rsidRDefault="002912FB" w14:paraId="22957CE9" w14:textId="79B254F1">
      <w:pPr>
        <w:pStyle w:val="Standard"/>
      </w:pPr>
      <w:r w:rsidRPr="00E013FB">
        <w:t>To implement Sections (d)(1) and (2)</w:t>
      </w:r>
      <w:r w:rsidRPr="00E013FB" w:rsidR="0011395B">
        <w:t>,</w:t>
      </w:r>
      <w:r w:rsidRPr="00E013FB">
        <w:t xml:space="preserve"> th</w:t>
      </w:r>
      <w:r w:rsidRPr="00E013FB" w:rsidR="0011395B">
        <w:t>is</w:t>
      </w:r>
      <w:r w:rsidRPr="00E013FB">
        <w:t xml:space="preserve"> Resolution provides </w:t>
      </w:r>
      <w:r w:rsidRPr="00E013FB" w:rsidR="00EE6CE4">
        <w:t xml:space="preserve">updates </w:t>
      </w:r>
      <w:r w:rsidRPr="00E013FB" w:rsidR="0011395B">
        <w:t xml:space="preserve">to electrical corporations’ </w:t>
      </w:r>
      <w:r w:rsidRPr="00E013FB" w:rsidR="001557A2">
        <w:t xml:space="preserve">2021 </w:t>
      </w:r>
      <w:r w:rsidRPr="00E013FB" w:rsidR="00EE6CE4">
        <w:t>Wildfire Mitigation Plan (WMP) requirements</w:t>
      </w:r>
      <w:r w:rsidRPr="00E013FB" w:rsidR="00A046AA">
        <w:t xml:space="preserve">, including updates to the </w:t>
      </w:r>
      <w:r w:rsidRPr="00E013FB">
        <w:t xml:space="preserve">metrics, </w:t>
      </w:r>
      <w:r w:rsidRPr="00E013FB" w:rsidR="00EE6CE4">
        <w:t>t</w:t>
      </w:r>
      <w:r w:rsidRPr="00E013FB">
        <w:t>emplates</w:t>
      </w:r>
      <w:r w:rsidRPr="00E013FB" w:rsidR="00A046AA">
        <w:t xml:space="preserve">, </w:t>
      </w:r>
      <w:r w:rsidRPr="00E013FB">
        <w:t xml:space="preserve">reports and </w:t>
      </w:r>
      <w:r w:rsidRPr="00E013FB" w:rsidR="00A046AA">
        <w:t>m</w:t>
      </w:r>
      <w:r w:rsidRPr="00E013FB">
        <w:t xml:space="preserve">aturity </w:t>
      </w:r>
      <w:r w:rsidRPr="00E013FB" w:rsidR="00A046AA">
        <w:t>m</w:t>
      </w:r>
      <w:r w:rsidRPr="00E013FB">
        <w:t>odel</w:t>
      </w:r>
      <w:r w:rsidRPr="00E013FB" w:rsidR="00A046AA">
        <w:t xml:space="preserve"> </w:t>
      </w:r>
      <w:r w:rsidRPr="00E013FB" w:rsidR="00A63259">
        <w:t>required of electrical corporations for</w:t>
      </w:r>
      <w:r w:rsidRPr="00E013FB" w:rsidR="00A046AA">
        <w:t xml:space="preserve"> 2020</w:t>
      </w:r>
      <w:r w:rsidRPr="00E013FB" w:rsidR="00A63259">
        <w:t xml:space="preserve"> WMPs</w:t>
      </w:r>
      <w:r w:rsidRPr="00E013FB">
        <w:t xml:space="preserve">.  </w:t>
      </w:r>
      <w:r w:rsidRPr="00E013FB" w:rsidR="00A046AA">
        <w:t>To implement Section (d)(4), t</w:t>
      </w:r>
      <w:r w:rsidRPr="00E013FB">
        <w:t xml:space="preserve">his Resolution provides a recommended process for annual </w:t>
      </w:r>
      <w:r w:rsidRPr="00E013FB" w:rsidR="00A046AA">
        <w:t>s</w:t>
      </w:r>
      <w:r w:rsidRPr="00E013FB">
        <w:t xml:space="preserve">afety </w:t>
      </w:r>
      <w:r w:rsidRPr="00E013FB" w:rsidR="00A046AA">
        <w:t>c</w:t>
      </w:r>
      <w:r w:rsidRPr="00E013FB">
        <w:t xml:space="preserve">ulture </w:t>
      </w:r>
      <w:r w:rsidRPr="00E013FB" w:rsidR="00A046AA">
        <w:t>a</w:t>
      </w:r>
      <w:r w:rsidRPr="00E013FB">
        <w:t xml:space="preserve">ssessments for </w:t>
      </w:r>
      <w:r w:rsidRPr="00E013FB" w:rsidR="00A046AA">
        <w:t>each</w:t>
      </w:r>
      <w:r w:rsidRPr="00E013FB">
        <w:t xml:space="preserve"> electric</w:t>
      </w:r>
      <w:r w:rsidRPr="00E013FB" w:rsidR="00A046AA">
        <w:t>al</w:t>
      </w:r>
      <w:r w:rsidRPr="00E013FB">
        <w:t xml:space="preserve"> corporation.  </w:t>
      </w:r>
    </w:p>
    <w:p w:rsidRPr="00E013FB" w:rsidR="000667C4" w:rsidP="00E013FB" w:rsidRDefault="007446B6" w14:paraId="60B12EBC" w14:textId="64A7C2BE">
      <w:pPr>
        <w:pStyle w:val="Standard"/>
      </w:pPr>
      <w:r w:rsidRPr="00E013FB">
        <w:t>Assembly Bill</w:t>
      </w:r>
      <w:r w:rsidRPr="00E013FB" w:rsidR="009B094B">
        <w:t xml:space="preserve"> (AB)</w:t>
      </w:r>
      <w:r w:rsidRPr="00E013FB">
        <w:t xml:space="preserve"> 1054 (2019</w:t>
      </w:r>
      <w:r w:rsidRPr="00E013FB" w:rsidR="003C694B">
        <w:t xml:space="preserve">) </w:t>
      </w:r>
      <w:r w:rsidRPr="00E013FB" w:rsidR="00026C29">
        <w:t>authorizes the W</w:t>
      </w:r>
      <w:r w:rsidRPr="00E013FB" w:rsidR="009246C2">
        <w:t>ildfire Safety Division (W</w:t>
      </w:r>
      <w:r w:rsidRPr="00E013FB" w:rsidR="00026C29">
        <w:t>SD</w:t>
      </w:r>
      <w:r w:rsidRPr="00E013FB" w:rsidR="009246C2">
        <w:t>)</w:t>
      </w:r>
      <w:r w:rsidRPr="00E013FB" w:rsidR="00026C29">
        <w:t xml:space="preserve"> to approve </w:t>
      </w:r>
      <w:r w:rsidRPr="00E013FB" w:rsidR="009B094B">
        <w:t>or deny</w:t>
      </w:r>
      <w:r w:rsidRPr="00E013FB" w:rsidR="00026C29">
        <w:t xml:space="preserve"> </w:t>
      </w:r>
      <w:r w:rsidRPr="00E013FB" w:rsidR="00A17B6F">
        <w:t xml:space="preserve">electrical corporations’ proposed WMPs </w:t>
      </w:r>
      <w:r w:rsidRPr="00E013FB" w:rsidR="005F30D0">
        <w:t>and</w:t>
      </w:r>
      <w:r w:rsidRPr="00E013FB" w:rsidR="009B094B">
        <w:t xml:space="preserve"> the Commission </w:t>
      </w:r>
      <w:r w:rsidRPr="00E013FB" w:rsidR="005F30D0">
        <w:t xml:space="preserve">to </w:t>
      </w:r>
      <w:r w:rsidRPr="00E013FB" w:rsidR="009B094B">
        <w:t>ratify the WSD’s determinations</w:t>
      </w:r>
      <w:r w:rsidRPr="00E013FB" w:rsidR="005F30D0">
        <w:t xml:space="preserve"> as appropriate.  </w:t>
      </w:r>
      <w:r w:rsidRPr="00E013FB" w:rsidR="00A17B6F">
        <w:t xml:space="preserve">For 2020 </w:t>
      </w:r>
      <w:r w:rsidRPr="00E013FB" w:rsidR="000E1ED4">
        <w:t xml:space="preserve">the </w:t>
      </w:r>
      <w:r w:rsidRPr="00E013FB" w:rsidR="00EE14B8">
        <w:t xml:space="preserve">WSD </w:t>
      </w:r>
      <w:r w:rsidRPr="00E013FB" w:rsidR="009B094B">
        <w:t xml:space="preserve">evaluated </w:t>
      </w:r>
      <w:r w:rsidRPr="00E013FB" w:rsidR="009B094B">
        <w:lastRenderedPageBreak/>
        <w:t>WMPs based on</w:t>
      </w:r>
      <w:r w:rsidRPr="00E013FB" w:rsidR="000E1ED4">
        <w:t xml:space="preserve"> </w:t>
      </w:r>
      <w:r w:rsidRPr="00E013FB" w:rsidR="00A17B6F">
        <w:t>g</w:t>
      </w:r>
      <w:r w:rsidRPr="00E013FB" w:rsidR="000E1ED4">
        <w:t>uidance</w:t>
      </w:r>
      <w:r w:rsidRPr="00E013FB" w:rsidR="00A17B6F">
        <w:t xml:space="preserve"> issued </w:t>
      </w:r>
      <w:r w:rsidRPr="00E013FB" w:rsidR="000E1ED4">
        <w:t>on December 16, 2019</w:t>
      </w:r>
      <w:r w:rsidRPr="00E013FB" w:rsidR="00C52B3E">
        <w:t>,</w:t>
      </w:r>
      <w:r w:rsidRPr="00E013FB" w:rsidR="009B094B">
        <w:t xml:space="preserve"> in </w:t>
      </w:r>
      <w:r w:rsidRPr="00E013FB" w:rsidR="00A17B6F">
        <w:t xml:space="preserve">the WMP </w:t>
      </w:r>
      <w:r w:rsidRPr="00E013FB" w:rsidR="009B094B">
        <w:t>Rulemaking (R.) 18-10-007</w:t>
      </w:r>
      <w:r w:rsidRPr="00E013FB" w:rsidR="00A17B6F">
        <w:t>.  This Resolution refines the guidance based on stakeholder comments about the 2020 guidance</w:t>
      </w:r>
      <w:r w:rsidRPr="00E013FB" w:rsidR="00371691">
        <w:t xml:space="preserve">, the California Wildfire Safety Advisory Board’s </w:t>
      </w:r>
      <w:r w:rsidRPr="00E013FB" w:rsidR="000A685E">
        <w:t xml:space="preserve">(WSAB) </w:t>
      </w:r>
      <w:r w:rsidRPr="00E013FB" w:rsidR="00371691">
        <w:t>June 24, 2020</w:t>
      </w:r>
      <w:r w:rsidRPr="00E013FB" w:rsidR="006D4469">
        <w:t>,</w:t>
      </w:r>
      <w:r w:rsidRPr="00E013FB" w:rsidR="00371691">
        <w:t xml:space="preserve"> input,</w:t>
      </w:r>
      <w:r w:rsidRPr="00E013FB" w:rsidR="00371691">
        <w:rPr>
          <w:rStyle w:val="FootnoteReference"/>
          <w:rFonts w:cstheme="minorHAnsi"/>
          <w:szCs w:val="26"/>
        </w:rPr>
        <w:t xml:space="preserve"> </w:t>
      </w:r>
      <w:r w:rsidRPr="00E013FB" w:rsidR="00371691">
        <w:rPr>
          <w:rStyle w:val="FootnoteReference"/>
          <w:rFonts w:cstheme="minorHAnsi"/>
          <w:b/>
          <w:bCs/>
          <w:szCs w:val="26"/>
          <w:u w:val="single"/>
        </w:rPr>
        <w:footnoteReference w:id="3"/>
      </w:r>
      <w:r w:rsidRPr="00E013FB" w:rsidR="00371691">
        <w:t xml:space="preserve">  </w:t>
      </w:r>
      <w:r w:rsidRPr="00E013FB" w:rsidR="00A17B6F">
        <w:t xml:space="preserve">and the </w:t>
      </w:r>
      <w:r w:rsidRPr="00E013FB" w:rsidR="00EE14B8">
        <w:t xml:space="preserve">WSD’s </w:t>
      </w:r>
      <w:r w:rsidRPr="00E013FB" w:rsidR="00A17B6F">
        <w:t>experience with the 2020 WMP review process.</w:t>
      </w:r>
    </w:p>
    <w:p w:rsidRPr="00E013FB" w:rsidR="000667C4" w:rsidP="00E013FB" w:rsidRDefault="000667C4" w14:paraId="1B53EE84" w14:textId="12E6DA47">
      <w:pPr>
        <w:pStyle w:val="Standard"/>
      </w:pPr>
      <w:r w:rsidRPr="00E013FB">
        <w:t>The elements of the revised WMP guidance and annual safety culture assessment process are included as attachments to this Resolution.  The Attachments are as follows:</w:t>
      </w:r>
    </w:p>
    <w:p w:rsidRPr="00E013FB" w:rsidR="000667C4" w:rsidP="00012291" w:rsidRDefault="000667C4" w14:paraId="45747E62" w14:textId="5D4A53AB">
      <w:pPr>
        <w:pStyle w:val="Res-Caption"/>
        <w:numPr>
          <w:ilvl w:val="0"/>
          <w:numId w:val="53"/>
        </w:numPr>
        <w:spacing w:after="120"/>
        <w:rPr>
          <w:rFonts w:ascii="Book Antiqua" w:hAnsi="Book Antiqua" w:eastAsiaTheme="minorHAnsi" w:cstheme="minorHAnsi"/>
          <w:szCs w:val="26"/>
        </w:rPr>
      </w:pPr>
      <w:r w:rsidRPr="00E013FB">
        <w:rPr>
          <w:rFonts w:ascii="Book Antiqua" w:hAnsi="Book Antiqua" w:eastAsiaTheme="minorHAnsi" w:cstheme="minorHAnsi"/>
          <w:b/>
          <w:szCs w:val="26"/>
        </w:rPr>
        <w:t>Attachment 1: Incorporation of WSAB Recommendations</w:t>
      </w:r>
      <w:r w:rsidR="00E013FB">
        <w:rPr>
          <w:rFonts w:ascii="Book Antiqua" w:hAnsi="Book Antiqua" w:eastAsiaTheme="minorHAnsi" w:cstheme="minorHAnsi"/>
          <w:b/>
          <w:szCs w:val="26"/>
        </w:rPr>
        <w:br/>
      </w:r>
      <w:r w:rsidRPr="00E013FB">
        <w:rPr>
          <w:rFonts w:ascii="Book Antiqua" w:hAnsi="Book Antiqua" w:eastAsiaTheme="minorHAnsi" w:cstheme="minorHAnsi"/>
          <w:szCs w:val="26"/>
        </w:rPr>
        <w:t xml:space="preserve">This document contains the WSD’s analysis of the WSAB recommendations.  </w:t>
      </w:r>
    </w:p>
    <w:p w:rsidRPr="00E013FB" w:rsidR="000667C4" w:rsidP="00012291" w:rsidRDefault="000667C4" w14:paraId="168CACBE" w14:textId="6A13CDF9">
      <w:pPr>
        <w:pStyle w:val="Res-Caption"/>
        <w:numPr>
          <w:ilvl w:val="0"/>
          <w:numId w:val="53"/>
        </w:numPr>
        <w:spacing w:after="120"/>
        <w:rPr>
          <w:rFonts w:ascii="Book Antiqua" w:hAnsi="Book Antiqua" w:eastAsiaTheme="minorHAnsi" w:cstheme="minorHAnsi"/>
          <w:szCs w:val="26"/>
        </w:rPr>
      </w:pPr>
      <w:r w:rsidRPr="00E013FB">
        <w:rPr>
          <w:rFonts w:ascii="Book Antiqua" w:hAnsi="Book Antiqua" w:eastAsiaTheme="minorHAnsi" w:cstheme="minorHAnsi"/>
          <w:b/>
          <w:szCs w:val="26"/>
        </w:rPr>
        <w:t xml:space="preserve">Attachment 2.1: Changes to WMP Guidelines </w:t>
      </w:r>
      <w:r w:rsidR="00E013FB">
        <w:rPr>
          <w:rFonts w:ascii="Book Antiqua" w:hAnsi="Book Antiqua" w:eastAsiaTheme="minorHAnsi" w:cstheme="minorHAnsi"/>
          <w:b/>
          <w:szCs w:val="26"/>
        </w:rPr>
        <w:br/>
      </w:r>
      <w:r w:rsidRPr="00E013FB">
        <w:rPr>
          <w:rFonts w:ascii="Book Antiqua" w:hAnsi="Book Antiqua" w:eastAsiaTheme="minorHAnsi" w:cstheme="minorHAnsi"/>
          <w:szCs w:val="26"/>
        </w:rPr>
        <w:t>The WMP requirements are fundamentally the same as in 2020 but are restructured to streamline reporting and evaluation. This document summarizes the major changes to WMP sections and tables.</w:t>
      </w:r>
    </w:p>
    <w:p w:rsidRPr="00E013FB" w:rsidR="000667C4" w:rsidP="00012291" w:rsidRDefault="000667C4" w14:paraId="7A1FFBC1" w14:textId="4109C948">
      <w:pPr>
        <w:pStyle w:val="Res-Caption"/>
        <w:numPr>
          <w:ilvl w:val="0"/>
          <w:numId w:val="53"/>
        </w:numPr>
        <w:spacing w:after="120"/>
        <w:rPr>
          <w:rFonts w:ascii="Book Antiqua" w:hAnsi="Book Antiqua" w:eastAsiaTheme="minorHAnsi" w:cstheme="minorHAnsi"/>
          <w:szCs w:val="26"/>
        </w:rPr>
      </w:pPr>
      <w:r w:rsidRPr="00E013FB">
        <w:rPr>
          <w:rFonts w:ascii="Book Antiqua" w:hAnsi="Book Antiqua" w:eastAsiaTheme="minorHAnsi" w:cstheme="minorHAnsi"/>
          <w:b/>
          <w:szCs w:val="26"/>
        </w:rPr>
        <w:t>Attachment 2.2: 2021 WMP Guidelines Template</w:t>
      </w:r>
      <w:r w:rsidR="00E013FB">
        <w:rPr>
          <w:rFonts w:ascii="Book Antiqua" w:hAnsi="Book Antiqua" w:eastAsiaTheme="minorHAnsi" w:cstheme="minorHAnsi"/>
          <w:b/>
          <w:szCs w:val="26"/>
        </w:rPr>
        <w:br/>
      </w:r>
      <w:r w:rsidRPr="00E013FB">
        <w:rPr>
          <w:rFonts w:ascii="Book Antiqua" w:hAnsi="Book Antiqua" w:eastAsiaTheme="minorHAnsi" w:cstheme="minorHAnsi"/>
          <w:szCs w:val="26"/>
        </w:rPr>
        <w:t>Definitions of metrics have been clarified, and tables have been altered to improve reporting.</w:t>
      </w:r>
    </w:p>
    <w:p w:rsidRPr="00E013FB" w:rsidR="000667C4" w:rsidP="00012291" w:rsidRDefault="000667C4" w14:paraId="74E999A3" w14:textId="34DCF57C">
      <w:pPr>
        <w:pStyle w:val="Res-Caption"/>
        <w:numPr>
          <w:ilvl w:val="0"/>
          <w:numId w:val="53"/>
        </w:numPr>
        <w:spacing w:after="120"/>
        <w:rPr>
          <w:rFonts w:ascii="Book Antiqua" w:hAnsi="Book Antiqua" w:eastAsiaTheme="minorHAnsi" w:cstheme="minorHAnsi"/>
          <w:szCs w:val="26"/>
        </w:rPr>
      </w:pPr>
      <w:r w:rsidRPr="00E013FB">
        <w:rPr>
          <w:rFonts w:ascii="Book Antiqua" w:hAnsi="Book Antiqua" w:eastAsiaTheme="minorHAnsi" w:cstheme="minorHAnsi"/>
          <w:b/>
          <w:szCs w:val="26"/>
        </w:rPr>
        <w:t>Attachment 2.3: 2021 Performance Metrics Data Template</w:t>
      </w:r>
      <w:r w:rsidR="00E013FB">
        <w:rPr>
          <w:rFonts w:ascii="Book Antiqua" w:hAnsi="Book Antiqua" w:eastAsiaTheme="minorHAnsi" w:cstheme="minorHAnsi"/>
          <w:b/>
          <w:szCs w:val="26"/>
        </w:rPr>
        <w:br/>
      </w:r>
      <w:r w:rsidRPr="00E013FB">
        <w:rPr>
          <w:rFonts w:ascii="Book Antiqua" w:hAnsi="Book Antiqua" w:eastAsiaTheme="minorHAnsi" w:cstheme="minorHAnsi"/>
          <w:szCs w:val="26"/>
        </w:rPr>
        <w:t>Provides an Excel spreadsheet for completing quarterly non-spatial data reports.</w:t>
      </w:r>
    </w:p>
    <w:p w:rsidRPr="00E013FB" w:rsidR="000667C4" w:rsidP="00012291" w:rsidRDefault="000667C4" w14:paraId="6E447469" w14:textId="33B4C913">
      <w:pPr>
        <w:pStyle w:val="Res-Caption"/>
        <w:numPr>
          <w:ilvl w:val="0"/>
          <w:numId w:val="53"/>
        </w:numPr>
        <w:spacing w:after="120"/>
        <w:rPr>
          <w:rFonts w:ascii="Book Antiqua" w:hAnsi="Book Antiqua" w:eastAsiaTheme="minorHAnsi" w:cstheme="minorHAnsi"/>
          <w:szCs w:val="26"/>
        </w:rPr>
      </w:pPr>
      <w:r w:rsidRPr="00E013FB">
        <w:rPr>
          <w:rFonts w:ascii="Book Antiqua" w:hAnsi="Book Antiqua" w:eastAsiaTheme="minorHAnsi" w:cstheme="minorHAnsi"/>
          <w:b/>
          <w:szCs w:val="26"/>
        </w:rPr>
        <w:t>Attachment 2.4: 2021 Maturity Model</w:t>
      </w:r>
      <w:r w:rsidR="00E013FB">
        <w:rPr>
          <w:rFonts w:ascii="Book Antiqua" w:hAnsi="Book Antiqua" w:eastAsiaTheme="minorHAnsi" w:cstheme="minorHAnsi"/>
          <w:b/>
          <w:szCs w:val="26"/>
        </w:rPr>
        <w:br/>
      </w:r>
      <w:r w:rsidRPr="00E013FB">
        <w:rPr>
          <w:rFonts w:ascii="Book Antiqua" w:hAnsi="Book Antiqua" w:eastAsiaTheme="minorHAnsi" w:cstheme="minorHAnsi"/>
          <w:szCs w:val="26"/>
        </w:rPr>
        <w:t xml:space="preserve">The Utility Wildfire Mitigation Maturity Model is a method to assess utility wildfire risk reduction capabilities and examine the relative maturity of the wildfire mitigation programs. In the 2021 WMP review, the WSD will assess progress on maturity by comparing the utility’s progress from the utility's 2020 maturity survey, </w:t>
      </w:r>
      <w:r w:rsidRPr="00E013FB" w:rsidR="00DC243A">
        <w:rPr>
          <w:rFonts w:ascii="Book Antiqua" w:hAnsi="Book Antiqua" w:eastAsiaTheme="minorHAnsi" w:cstheme="minorHAnsi"/>
          <w:szCs w:val="26"/>
        </w:rPr>
        <w:t>WMP</w:t>
      </w:r>
      <w:r w:rsidRPr="00E013FB">
        <w:rPr>
          <w:rFonts w:ascii="Book Antiqua" w:hAnsi="Book Antiqua" w:eastAsiaTheme="minorHAnsi" w:cstheme="minorHAnsi"/>
          <w:szCs w:val="26"/>
        </w:rPr>
        <w:t xml:space="preserve"> and other data sources, subject to audit and verification.</w:t>
      </w:r>
    </w:p>
    <w:p w:rsidRPr="00E013FB" w:rsidR="000667C4" w:rsidP="00012291" w:rsidRDefault="000667C4" w14:paraId="6126300A" w14:textId="4A1B95C9">
      <w:pPr>
        <w:pStyle w:val="Res-Caption"/>
        <w:numPr>
          <w:ilvl w:val="0"/>
          <w:numId w:val="53"/>
        </w:numPr>
        <w:spacing w:after="120"/>
        <w:rPr>
          <w:rFonts w:ascii="Book Antiqua" w:hAnsi="Book Antiqua" w:eastAsiaTheme="minorHAnsi" w:cstheme="minorHAnsi"/>
          <w:szCs w:val="26"/>
        </w:rPr>
      </w:pPr>
      <w:r w:rsidRPr="00E013FB">
        <w:rPr>
          <w:rFonts w:ascii="Book Antiqua" w:hAnsi="Book Antiqua" w:eastAsiaTheme="minorHAnsi" w:cstheme="minorHAnsi"/>
          <w:b/>
          <w:szCs w:val="26"/>
        </w:rPr>
        <w:lastRenderedPageBreak/>
        <w:t>Attachment 3: Changes to WMP Process</w:t>
      </w:r>
      <w:r w:rsidR="00E013FB">
        <w:rPr>
          <w:rFonts w:ascii="Book Antiqua" w:hAnsi="Book Antiqua" w:eastAsiaTheme="minorHAnsi" w:cstheme="minorHAnsi"/>
          <w:b/>
          <w:szCs w:val="26"/>
        </w:rPr>
        <w:br/>
      </w:r>
      <w:r w:rsidRPr="00E013FB">
        <w:rPr>
          <w:rFonts w:ascii="Book Antiqua" w:hAnsi="Book Antiqua" w:eastAsiaTheme="minorHAnsi" w:cstheme="minorHAnsi"/>
          <w:szCs w:val="26"/>
        </w:rPr>
        <w:t>This document recommends an improved 2021 WMP evaluation schedule, timeline and process.</w:t>
      </w:r>
    </w:p>
    <w:p w:rsidRPr="00E013FB" w:rsidR="00F7770D" w:rsidP="00E013FB" w:rsidRDefault="000667C4" w14:paraId="3E628321" w14:textId="474BD3ED">
      <w:pPr>
        <w:pStyle w:val="Res-Caption"/>
        <w:numPr>
          <w:ilvl w:val="0"/>
          <w:numId w:val="53"/>
        </w:numPr>
        <w:spacing w:after="240"/>
        <w:rPr>
          <w:rFonts w:ascii="Book Antiqua" w:hAnsi="Book Antiqua" w:eastAsiaTheme="minorHAnsi" w:cstheme="minorHAnsi"/>
          <w:szCs w:val="26"/>
        </w:rPr>
      </w:pPr>
      <w:r w:rsidRPr="00E013FB">
        <w:rPr>
          <w:rFonts w:ascii="Book Antiqua" w:hAnsi="Book Antiqua" w:eastAsiaTheme="minorHAnsi" w:cstheme="minorHAnsi"/>
          <w:b/>
          <w:szCs w:val="26"/>
        </w:rPr>
        <w:t xml:space="preserve">Attachment 4: Annual Safety Culture Assessment Process </w:t>
      </w:r>
      <w:r w:rsidR="00E013FB">
        <w:rPr>
          <w:rFonts w:ascii="Book Antiqua" w:hAnsi="Book Antiqua" w:eastAsiaTheme="minorHAnsi" w:cstheme="minorHAnsi"/>
          <w:b/>
          <w:szCs w:val="26"/>
        </w:rPr>
        <w:br/>
      </w:r>
      <w:r w:rsidRPr="00E013FB">
        <w:rPr>
          <w:rFonts w:ascii="Book Antiqua" w:hAnsi="Book Antiqua" w:eastAsiaTheme="minorHAnsi" w:cstheme="minorHAnsi"/>
          <w:szCs w:val="26"/>
        </w:rPr>
        <w:t>The WSD’s recommendation for annual safety culture assessments pursuant to Public Utilities Code § 8389(d)(4).</w:t>
      </w:r>
    </w:p>
    <w:p w:rsidRPr="00E013FB" w:rsidR="00654C35" w:rsidP="00E013FB" w:rsidRDefault="001A36E2" w14:paraId="7556E59A" w14:textId="510812C3">
      <w:pPr>
        <w:pStyle w:val="Res-Caption"/>
        <w:spacing w:after="240"/>
        <w:ind w:left="0"/>
        <w:rPr>
          <w:rFonts w:ascii="Book Antiqua" w:hAnsi="Book Antiqua" w:cstheme="minorHAnsi"/>
          <w:szCs w:val="26"/>
        </w:rPr>
      </w:pPr>
      <w:r w:rsidRPr="00E013FB">
        <w:rPr>
          <w:rFonts w:ascii="Book Antiqua" w:hAnsi="Book Antiqua" w:cstheme="minorHAnsi"/>
          <w:szCs w:val="26"/>
        </w:rPr>
        <w:t xml:space="preserve">PROPOSED OUTCOME: </w:t>
      </w:r>
    </w:p>
    <w:p w:rsidRPr="00E013FB" w:rsidR="003431AF" w:rsidP="00546EFC" w:rsidRDefault="00CF1F2B" w14:paraId="438C2769" w14:textId="77777777">
      <w:pPr>
        <w:pStyle w:val="Res-Caption"/>
        <w:numPr>
          <w:ilvl w:val="0"/>
          <w:numId w:val="36"/>
        </w:numPr>
        <w:spacing w:after="120"/>
        <w:ind w:left="1080" w:right="1440"/>
        <w:rPr>
          <w:rFonts w:ascii="Book Antiqua" w:hAnsi="Book Antiqua" w:cstheme="minorHAnsi"/>
          <w:szCs w:val="26"/>
        </w:rPr>
      </w:pPr>
      <w:r w:rsidRPr="00E013FB">
        <w:rPr>
          <w:rFonts w:ascii="Book Antiqua" w:hAnsi="Book Antiqua" w:cstheme="minorHAnsi"/>
          <w:szCs w:val="26"/>
        </w:rPr>
        <w:t>Provides revised guidance for utilities to complete their 2021 WMP update</w:t>
      </w:r>
      <w:r w:rsidRPr="00E013FB" w:rsidR="003431AF">
        <w:rPr>
          <w:rFonts w:ascii="Book Antiqua" w:hAnsi="Book Antiqua" w:cstheme="minorHAnsi"/>
          <w:szCs w:val="26"/>
        </w:rPr>
        <w:t xml:space="preserve">s.  </w:t>
      </w:r>
    </w:p>
    <w:p w:rsidRPr="00E013FB" w:rsidR="00CF1F2B" w:rsidP="00546EFC" w:rsidRDefault="003431AF" w14:paraId="0911965A" w14:textId="7B3449D7">
      <w:pPr>
        <w:pStyle w:val="Res-Caption"/>
        <w:numPr>
          <w:ilvl w:val="0"/>
          <w:numId w:val="36"/>
        </w:numPr>
        <w:spacing w:after="120"/>
        <w:ind w:left="1080" w:right="1440"/>
        <w:rPr>
          <w:rFonts w:ascii="Book Antiqua" w:hAnsi="Book Antiqua" w:cstheme="minorHAnsi"/>
          <w:szCs w:val="26"/>
        </w:rPr>
      </w:pPr>
      <w:r w:rsidRPr="00E013FB">
        <w:rPr>
          <w:rFonts w:ascii="Book Antiqua" w:hAnsi="Book Antiqua" w:cstheme="minorHAnsi"/>
          <w:szCs w:val="26"/>
        </w:rPr>
        <w:t>P</w:t>
      </w:r>
      <w:r w:rsidRPr="00E013FB" w:rsidR="000E1ED4">
        <w:rPr>
          <w:rFonts w:ascii="Book Antiqua" w:hAnsi="Book Antiqua" w:cstheme="minorHAnsi"/>
          <w:szCs w:val="26"/>
        </w:rPr>
        <w:t xml:space="preserve">rovides for a phased consideration of WMPs, with Small and Multijurisdictional </w:t>
      </w:r>
      <w:r w:rsidRPr="00E013FB" w:rsidR="000A685E">
        <w:rPr>
          <w:rFonts w:ascii="Book Antiqua" w:hAnsi="Book Antiqua" w:cstheme="minorHAnsi"/>
          <w:szCs w:val="26"/>
        </w:rPr>
        <w:t>U</w:t>
      </w:r>
      <w:r w:rsidRPr="00E013FB" w:rsidR="000E1ED4">
        <w:rPr>
          <w:rFonts w:ascii="Book Antiqua" w:hAnsi="Book Antiqua" w:cstheme="minorHAnsi"/>
          <w:szCs w:val="26"/>
        </w:rPr>
        <w:t>tilities</w:t>
      </w:r>
      <w:r w:rsidRPr="00E013FB" w:rsidR="000A685E">
        <w:rPr>
          <w:rFonts w:ascii="Book Antiqua" w:hAnsi="Book Antiqua" w:cstheme="minorHAnsi"/>
          <w:szCs w:val="26"/>
        </w:rPr>
        <w:t>’</w:t>
      </w:r>
      <w:r w:rsidRPr="00E013FB" w:rsidR="000E1ED4">
        <w:rPr>
          <w:rFonts w:ascii="Book Antiqua" w:hAnsi="Book Antiqua" w:cstheme="minorHAnsi"/>
          <w:szCs w:val="26"/>
        </w:rPr>
        <w:t xml:space="preserve"> (SMJUs) and Independent Transmission Owners</w:t>
      </w:r>
      <w:r w:rsidRPr="00E013FB" w:rsidR="000A685E">
        <w:rPr>
          <w:rFonts w:ascii="Book Antiqua" w:hAnsi="Book Antiqua" w:cstheme="minorHAnsi"/>
          <w:szCs w:val="26"/>
        </w:rPr>
        <w:t>’</w:t>
      </w:r>
      <w:r w:rsidRPr="00E013FB" w:rsidR="000E1ED4">
        <w:rPr>
          <w:rFonts w:ascii="Book Antiqua" w:hAnsi="Book Antiqua" w:cstheme="minorHAnsi"/>
          <w:szCs w:val="26"/>
        </w:rPr>
        <w:t xml:space="preserve"> (ITOs) WMPs due one month after those of the large Investor Owned Utilities (IOUs).</w:t>
      </w:r>
    </w:p>
    <w:p w:rsidRPr="00E013FB" w:rsidR="00CF1F2B" w:rsidP="00546EFC" w:rsidRDefault="000667C4" w14:paraId="09069D72" w14:textId="2001BD4F">
      <w:pPr>
        <w:pStyle w:val="Res-Caption"/>
        <w:numPr>
          <w:ilvl w:val="0"/>
          <w:numId w:val="36"/>
        </w:numPr>
        <w:spacing w:after="120"/>
        <w:ind w:left="1080" w:right="1440"/>
        <w:rPr>
          <w:rFonts w:ascii="Book Antiqua" w:hAnsi="Book Antiqua" w:cstheme="minorHAnsi"/>
          <w:szCs w:val="26"/>
        </w:rPr>
      </w:pPr>
      <w:r w:rsidRPr="00E013FB">
        <w:rPr>
          <w:rFonts w:ascii="Book Antiqua" w:hAnsi="Book Antiqua" w:cstheme="minorHAnsi"/>
          <w:szCs w:val="26"/>
        </w:rPr>
        <w:t>Considers and i</w:t>
      </w:r>
      <w:r w:rsidRPr="00E013FB" w:rsidR="0033566E">
        <w:rPr>
          <w:rFonts w:ascii="Book Antiqua" w:hAnsi="Book Antiqua" w:cstheme="minorHAnsi"/>
          <w:szCs w:val="26"/>
        </w:rPr>
        <w:t xml:space="preserve">ncorporates </w:t>
      </w:r>
      <w:r w:rsidRPr="00E013FB">
        <w:rPr>
          <w:rFonts w:ascii="Book Antiqua" w:hAnsi="Book Antiqua" w:cstheme="minorHAnsi"/>
          <w:szCs w:val="26"/>
        </w:rPr>
        <w:t xml:space="preserve">the majority of </w:t>
      </w:r>
      <w:r w:rsidRPr="00E013FB" w:rsidR="0083186A">
        <w:rPr>
          <w:rFonts w:ascii="Book Antiqua" w:hAnsi="Book Antiqua" w:cstheme="minorHAnsi"/>
          <w:szCs w:val="26"/>
        </w:rPr>
        <w:t>the W</w:t>
      </w:r>
      <w:r w:rsidRPr="00E013FB" w:rsidR="000A685E">
        <w:rPr>
          <w:rFonts w:ascii="Book Antiqua" w:hAnsi="Book Antiqua" w:cstheme="minorHAnsi"/>
          <w:szCs w:val="26"/>
        </w:rPr>
        <w:t>SAB’</w:t>
      </w:r>
      <w:r w:rsidRPr="00E013FB" w:rsidR="0083186A">
        <w:rPr>
          <w:rFonts w:ascii="Book Antiqua" w:hAnsi="Book Antiqua" w:cstheme="minorHAnsi"/>
          <w:szCs w:val="26"/>
        </w:rPr>
        <w:t xml:space="preserve">s proposed </w:t>
      </w:r>
      <w:r w:rsidRPr="00E013FB" w:rsidR="00CF1F2B">
        <w:rPr>
          <w:rFonts w:ascii="Book Antiqua" w:hAnsi="Book Antiqua" w:cstheme="minorHAnsi"/>
          <w:szCs w:val="26"/>
        </w:rPr>
        <w:t>performance metrics</w:t>
      </w:r>
      <w:r w:rsidRPr="00E013FB" w:rsidR="004C622B">
        <w:rPr>
          <w:rFonts w:ascii="Book Antiqua" w:hAnsi="Book Antiqua" w:cstheme="minorHAnsi"/>
          <w:szCs w:val="26"/>
        </w:rPr>
        <w:t xml:space="preserve"> </w:t>
      </w:r>
      <w:r w:rsidRPr="00E013FB" w:rsidR="00CF1F2B">
        <w:rPr>
          <w:rFonts w:ascii="Book Antiqua" w:hAnsi="Book Antiqua" w:cstheme="minorHAnsi"/>
          <w:szCs w:val="26"/>
        </w:rPr>
        <w:t xml:space="preserve">and other </w:t>
      </w:r>
      <w:r w:rsidRPr="00E013FB" w:rsidR="004C622B">
        <w:rPr>
          <w:rFonts w:ascii="Book Antiqua" w:hAnsi="Book Antiqua" w:cstheme="minorHAnsi"/>
          <w:szCs w:val="26"/>
        </w:rPr>
        <w:t>recommendations</w:t>
      </w:r>
      <w:r w:rsidRPr="00E013FB" w:rsidR="0033566E">
        <w:rPr>
          <w:rFonts w:ascii="Book Antiqua" w:hAnsi="Book Antiqua" w:cstheme="minorHAnsi"/>
          <w:szCs w:val="26"/>
        </w:rPr>
        <w:t>.</w:t>
      </w:r>
      <w:r w:rsidRPr="00E013FB" w:rsidR="004C622B">
        <w:rPr>
          <w:rFonts w:ascii="Book Antiqua" w:hAnsi="Book Antiqua" w:cstheme="minorHAnsi"/>
          <w:szCs w:val="26"/>
        </w:rPr>
        <w:t xml:space="preserve"> </w:t>
      </w:r>
    </w:p>
    <w:p w:rsidRPr="00E013FB" w:rsidR="00CF1F2B" w:rsidP="00546EFC" w:rsidRDefault="009A6012" w14:paraId="6DFE520B" w14:textId="09DD6727">
      <w:pPr>
        <w:pStyle w:val="Res-Caption"/>
        <w:numPr>
          <w:ilvl w:val="0"/>
          <w:numId w:val="36"/>
        </w:numPr>
        <w:spacing w:after="120"/>
        <w:ind w:left="1080" w:right="1440"/>
        <w:rPr>
          <w:rFonts w:ascii="Book Antiqua" w:hAnsi="Book Antiqua" w:cstheme="minorHAnsi"/>
          <w:szCs w:val="26"/>
        </w:rPr>
      </w:pPr>
      <w:r w:rsidRPr="00E013FB">
        <w:rPr>
          <w:rFonts w:ascii="Book Antiqua" w:hAnsi="Book Antiqua" w:cstheme="minorHAnsi"/>
          <w:szCs w:val="26"/>
        </w:rPr>
        <w:t>Refines</w:t>
      </w:r>
      <w:r w:rsidRPr="00E013FB" w:rsidR="00CF1F2B">
        <w:rPr>
          <w:rFonts w:ascii="Book Antiqua" w:hAnsi="Book Antiqua" w:cstheme="minorHAnsi"/>
          <w:szCs w:val="26"/>
        </w:rPr>
        <w:t xml:space="preserve"> the process for the </w:t>
      </w:r>
      <w:r w:rsidRPr="00E013FB" w:rsidR="003431AF">
        <w:rPr>
          <w:rFonts w:ascii="Book Antiqua" w:hAnsi="Book Antiqua" w:cstheme="minorHAnsi"/>
          <w:szCs w:val="26"/>
        </w:rPr>
        <w:t xml:space="preserve">Commission </w:t>
      </w:r>
      <w:r w:rsidRPr="00E013FB" w:rsidR="00CF1F2B">
        <w:rPr>
          <w:rFonts w:ascii="Book Antiqua" w:hAnsi="Book Antiqua" w:cstheme="minorHAnsi"/>
          <w:szCs w:val="26"/>
        </w:rPr>
        <w:t xml:space="preserve">to evaluate and approve/disapprove </w:t>
      </w:r>
      <w:r w:rsidRPr="00E013FB">
        <w:rPr>
          <w:rFonts w:ascii="Book Antiqua" w:hAnsi="Book Antiqua" w:cstheme="minorHAnsi"/>
          <w:szCs w:val="26"/>
        </w:rPr>
        <w:t xml:space="preserve">2021 </w:t>
      </w:r>
      <w:r w:rsidRPr="00E013FB" w:rsidR="00CF1F2B">
        <w:rPr>
          <w:rFonts w:ascii="Book Antiqua" w:hAnsi="Book Antiqua" w:cstheme="minorHAnsi"/>
          <w:szCs w:val="26"/>
        </w:rPr>
        <w:t>WMP updates.</w:t>
      </w:r>
    </w:p>
    <w:p w:rsidRPr="00E013FB" w:rsidR="001A36E2" w:rsidP="00E013FB" w:rsidRDefault="00CF1F2B" w14:paraId="3BCA155A" w14:textId="6A3F4DAD">
      <w:pPr>
        <w:pStyle w:val="Res-Caption"/>
        <w:numPr>
          <w:ilvl w:val="0"/>
          <w:numId w:val="36"/>
        </w:numPr>
        <w:spacing w:after="240"/>
        <w:ind w:left="1080" w:right="1440"/>
        <w:rPr>
          <w:rFonts w:ascii="Book Antiqua" w:hAnsi="Book Antiqua" w:cstheme="minorHAnsi"/>
          <w:szCs w:val="26"/>
        </w:rPr>
      </w:pPr>
      <w:r w:rsidRPr="00E013FB">
        <w:rPr>
          <w:rFonts w:ascii="Book Antiqua" w:hAnsi="Book Antiqua" w:cstheme="minorHAnsi"/>
          <w:szCs w:val="26"/>
        </w:rPr>
        <w:t xml:space="preserve">Proposes a process for annual </w:t>
      </w:r>
      <w:r w:rsidRPr="00E013FB" w:rsidR="003431AF">
        <w:rPr>
          <w:rFonts w:ascii="Book Antiqua" w:hAnsi="Book Antiqua" w:cstheme="minorHAnsi"/>
          <w:szCs w:val="26"/>
        </w:rPr>
        <w:t>s</w:t>
      </w:r>
      <w:r w:rsidRPr="00E013FB">
        <w:rPr>
          <w:rFonts w:ascii="Book Antiqua" w:hAnsi="Book Antiqua" w:cstheme="minorHAnsi"/>
          <w:szCs w:val="26"/>
        </w:rPr>
        <w:t xml:space="preserve">afety </w:t>
      </w:r>
      <w:r w:rsidRPr="00E013FB" w:rsidR="003431AF">
        <w:rPr>
          <w:rFonts w:ascii="Book Antiqua" w:hAnsi="Book Antiqua" w:cstheme="minorHAnsi"/>
          <w:szCs w:val="26"/>
        </w:rPr>
        <w:t>c</w:t>
      </w:r>
      <w:r w:rsidRPr="00E013FB">
        <w:rPr>
          <w:rFonts w:ascii="Book Antiqua" w:hAnsi="Book Antiqua" w:cstheme="minorHAnsi"/>
          <w:szCs w:val="26"/>
        </w:rPr>
        <w:t xml:space="preserve">ulture </w:t>
      </w:r>
      <w:r w:rsidRPr="00E013FB" w:rsidR="003431AF">
        <w:rPr>
          <w:rFonts w:ascii="Book Antiqua" w:hAnsi="Book Antiqua" w:cstheme="minorHAnsi"/>
          <w:szCs w:val="26"/>
        </w:rPr>
        <w:t>a</w:t>
      </w:r>
      <w:r w:rsidRPr="00E013FB">
        <w:rPr>
          <w:rFonts w:ascii="Book Antiqua" w:hAnsi="Book Antiqua" w:cstheme="minorHAnsi"/>
          <w:szCs w:val="26"/>
        </w:rPr>
        <w:t>ssessments for each electrical corporation.</w:t>
      </w:r>
    </w:p>
    <w:p w:rsidRPr="00E013FB" w:rsidR="00E552F3" w:rsidP="00E013FB" w:rsidRDefault="001A36E2" w14:paraId="1F4D9FDB" w14:textId="5D7891AA">
      <w:pPr>
        <w:pStyle w:val="Res-Caption"/>
        <w:spacing w:after="240"/>
        <w:ind w:left="0"/>
        <w:rPr>
          <w:rFonts w:ascii="Book Antiqua" w:hAnsi="Book Antiqua" w:cstheme="minorHAnsi"/>
          <w:szCs w:val="26"/>
        </w:rPr>
      </w:pPr>
      <w:r w:rsidRPr="00E013FB">
        <w:rPr>
          <w:rFonts w:ascii="Book Antiqua" w:hAnsi="Book Antiqua" w:cstheme="minorHAnsi"/>
          <w:szCs w:val="26"/>
        </w:rPr>
        <w:t>SAFETY CONSIDERATIONS:</w:t>
      </w:r>
    </w:p>
    <w:p w:rsidRPr="00E013FB" w:rsidR="001A36E2" w:rsidP="00546EFC" w:rsidRDefault="001A36E2" w14:paraId="284F2637" w14:textId="08715F60">
      <w:pPr>
        <w:pStyle w:val="Res-Caption"/>
        <w:numPr>
          <w:ilvl w:val="0"/>
          <w:numId w:val="36"/>
        </w:numPr>
        <w:spacing w:after="120"/>
        <w:ind w:left="1080" w:right="1440"/>
        <w:rPr>
          <w:rFonts w:ascii="Book Antiqua" w:hAnsi="Book Antiqua" w:cstheme="minorHAnsi"/>
          <w:szCs w:val="26"/>
        </w:rPr>
      </w:pPr>
      <w:r w:rsidRPr="00E013FB">
        <w:rPr>
          <w:rFonts w:ascii="Book Antiqua" w:hAnsi="Book Antiqua" w:cstheme="minorHAnsi"/>
          <w:szCs w:val="26"/>
        </w:rPr>
        <w:t>Mitigation of catastrophic wildfires in California is among the most important safety challenges the Commission-regulated electrical corporations face. WMPs list an electrical corporation’s proposed actions to help prevent catastrophic wildfire, so comprehensive WMPs are essential to safety.</w:t>
      </w:r>
    </w:p>
    <w:p w:rsidRPr="00E013FB" w:rsidR="001A36E2" w:rsidP="00546EFC" w:rsidRDefault="001A36E2" w14:paraId="7F79E55E" w14:textId="77777777">
      <w:pPr>
        <w:pStyle w:val="Res-Caption"/>
        <w:numPr>
          <w:ilvl w:val="0"/>
          <w:numId w:val="36"/>
        </w:numPr>
        <w:spacing w:after="120"/>
        <w:ind w:left="1080" w:right="1440"/>
        <w:rPr>
          <w:rFonts w:ascii="Book Antiqua" w:hAnsi="Book Antiqua" w:cstheme="minorHAnsi"/>
          <w:szCs w:val="26"/>
        </w:rPr>
      </w:pPr>
      <w:r w:rsidRPr="00E013FB">
        <w:rPr>
          <w:rFonts w:ascii="Book Antiqua" w:hAnsi="Book Antiqua" w:cstheme="minorHAnsi"/>
          <w:szCs w:val="26"/>
        </w:rPr>
        <w:t xml:space="preserve">By implementing measures such as vegetation management, system hardening (such as insulating overhead lines and removing or upgrading equipment most likely to cause fire ignition), improved inspection and maintenance, situational awareness (cameras, weather stations, and use of data to predict areas of highest fire threat), improved community engagement and awareness, </w:t>
      </w:r>
      <w:r w:rsidRPr="00E013FB">
        <w:rPr>
          <w:rFonts w:ascii="Book Antiqua" w:hAnsi="Book Antiqua" w:cstheme="minorHAnsi"/>
          <w:szCs w:val="26"/>
        </w:rPr>
        <w:lastRenderedPageBreak/>
        <w:t xml:space="preserve">and other measures, utility-caused catastrophic wildfire risk should be reduced over time.  </w:t>
      </w:r>
    </w:p>
    <w:p w:rsidRPr="00E013FB" w:rsidR="00407241" w:rsidP="00546EFC" w:rsidRDefault="00A76DCD" w14:paraId="0938FF0F" w14:textId="4AD9B7C2">
      <w:pPr>
        <w:pStyle w:val="Res-Caption"/>
        <w:numPr>
          <w:ilvl w:val="0"/>
          <w:numId w:val="36"/>
        </w:numPr>
        <w:spacing w:after="120"/>
        <w:ind w:left="1080" w:right="1440"/>
        <w:rPr>
          <w:rFonts w:ascii="Book Antiqua" w:hAnsi="Book Antiqua" w:cstheme="minorHAnsi"/>
          <w:szCs w:val="26"/>
        </w:rPr>
      </w:pPr>
      <w:r w:rsidRPr="00E013FB">
        <w:rPr>
          <w:rFonts w:ascii="Book Antiqua" w:hAnsi="Book Antiqua" w:cstheme="minorHAnsi"/>
          <w:szCs w:val="26"/>
        </w:rPr>
        <w:t xml:space="preserve">The </w:t>
      </w:r>
      <w:r w:rsidRPr="00E013FB" w:rsidR="0020347F">
        <w:rPr>
          <w:rFonts w:ascii="Book Antiqua" w:hAnsi="Book Antiqua" w:cstheme="minorHAnsi"/>
          <w:szCs w:val="26"/>
        </w:rPr>
        <w:t xml:space="preserve">WMP </w:t>
      </w:r>
      <w:r w:rsidRPr="00E013FB" w:rsidR="001A36E2">
        <w:rPr>
          <w:rFonts w:ascii="Book Antiqua" w:hAnsi="Book Antiqua" w:cstheme="minorHAnsi"/>
          <w:szCs w:val="26"/>
        </w:rPr>
        <w:t>changes for 202</w:t>
      </w:r>
      <w:r w:rsidRPr="00E013FB" w:rsidR="00CF1F2B">
        <w:rPr>
          <w:rFonts w:ascii="Book Antiqua" w:hAnsi="Book Antiqua" w:cstheme="minorHAnsi"/>
          <w:szCs w:val="26"/>
        </w:rPr>
        <w:t>1</w:t>
      </w:r>
      <w:r w:rsidRPr="00E013FB" w:rsidR="001A36E2">
        <w:rPr>
          <w:rFonts w:ascii="Book Antiqua" w:hAnsi="Book Antiqua" w:cstheme="minorHAnsi"/>
          <w:szCs w:val="26"/>
        </w:rPr>
        <w:t xml:space="preserve"> should </w:t>
      </w:r>
      <w:r w:rsidRPr="00E013FB" w:rsidR="00D70D2A">
        <w:rPr>
          <w:rFonts w:ascii="Book Antiqua" w:hAnsi="Book Antiqua" w:cstheme="minorHAnsi"/>
          <w:szCs w:val="26"/>
        </w:rPr>
        <w:t>enhance</w:t>
      </w:r>
      <w:r w:rsidRPr="00E013FB" w:rsidR="001A36E2">
        <w:rPr>
          <w:rFonts w:ascii="Book Antiqua" w:hAnsi="Book Antiqua" w:cstheme="minorHAnsi"/>
          <w:szCs w:val="26"/>
        </w:rPr>
        <w:t xml:space="preserve"> California’s ability to</w:t>
      </w:r>
      <w:r w:rsidRPr="00E013FB" w:rsidR="001A242B">
        <w:rPr>
          <w:rFonts w:ascii="Book Antiqua" w:hAnsi="Book Antiqua" w:cstheme="minorHAnsi"/>
          <w:szCs w:val="26"/>
        </w:rPr>
        <w:t xml:space="preserve"> </w:t>
      </w:r>
      <w:r w:rsidRPr="00E013FB" w:rsidR="00D70D2A">
        <w:rPr>
          <w:rFonts w:ascii="Book Antiqua" w:hAnsi="Book Antiqua" w:cstheme="minorHAnsi"/>
          <w:szCs w:val="26"/>
        </w:rPr>
        <w:t xml:space="preserve">review and </w:t>
      </w:r>
      <w:r w:rsidRPr="00E013FB" w:rsidR="001A242B">
        <w:rPr>
          <w:rFonts w:ascii="Book Antiqua" w:hAnsi="Book Antiqua" w:cstheme="minorHAnsi"/>
          <w:szCs w:val="26"/>
        </w:rPr>
        <w:t xml:space="preserve">monitor the electrical corporations’ </w:t>
      </w:r>
      <w:r w:rsidRPr="00E013FB" w:rsidR="00D70D2A">
        <w:rPr>
          <w:rFonts w:ascii="Book Antiqua" w:hAnsi="Book Antiqua" w:cstheme="minorHAnsi"/>
          <w:szCs w:val="26"/>
        </w:rPr>
        <w:t xml:space="preserve">actions in </w:t>
      </w:r>
      <w:r w:rsidRPr="00E013FB" w:rsidR="001A36E2">
        <w:rPr>
          <w:rFonts w:ascii="Book Antiqua" w:hAnsi="Book Antiqua" w:cstheme="minorHAnsi"/>
          <w:szCs w:val="26"/>
        </w:rPr>
        <w:t>mitigat</w:t>
      </w:r>
      <w:r w:rsidRPr="00E013FB" w:rsidR="00D70D2A">
        <w:rPr>
          <w:rFonts w:ascii="Book Antiqua" w:hAnsi="Book Antiqua" w:cstheme="minorHAnsi"/>
          <w:szCs w:val="26"/>
        </w:rPr>
        <w:t>ing</w:t>
      </w:r>
      <w:r w:rsidRPr="00E013FB" w:rsidR="001A36E2">
        <w:rPr>
          <w:rFonts w:ascii="Book Antiqua" w:hAnsi="Book Antiqua" w:cstheme="minorHAnsi"/>
          <w:szCs w:val="26"/>
        </w:rPr>
        <w:t xml:space="preserve"> catastrophic wildfire.  </w:t>
      </w:r>
    </w:p>
    <w:p w:rsidRPr="00E013FB" w:rsidR="00A76DCD" w:rsidP="00D70D2A" w:rsidRDefault="00C52CF5" w14:paraId="12AF97F4" w14:textId="0441ABBF">
      <w:pPr>
        <w:pStyle w:val="Res-Caption"/>
        <w:numPr>
          <w:ilvl w:val="0"/>
          <w:numId w:val="36"/>
        </w:numPr>
        <w:spacing w:after="120"/>
        <w:ind w:left="1080" w:right="1440"/>
        <w:rPr>
          <w:rFonts w:ascii="Book Antiqua" w:hAnsi="Book Antiqua" w:cstheme="minorHAnsi"/>
          <w:szCs w:val="26"/>
        </w:rPr>
      </w:pPr>
      <w:r w:rsidRPr="00E013FB">
        <w:rPr>
          <w:rFonts w:ascii="Book Antiqua" w:hAnsi="Book Antiqua" w:cstheme="minorHAnsi"/>
          <w:szCs w:val="26"/>
        </w:rPr>
        <w:t xml:space="preserve">The process for conducting annual </w:t>
      </w:r>
      <w:r w:rsidRPr="00E013FB" w:rsidR="0020347F">
        <w:rPr>
          <w:rFonts w:ascii="Book Antiqua" w:hAnsi="Book Antiqua" w:cstheme="minorHAnsi"/>
          <w:szCs w:val="26"/>
        </w:rPr>
        <w:t>s</w:t>
      </w:r>
      <w:r w:rsidRPr="00E013FB">
        <w:rPr>
          <w:rFonts w:ascii="Book Antiqua" w:hAnsi="Book Antiqua" w:cstheme="minorHAnsi"/>
          <w:szCs w:val="26"/>
        </w:rPr>
        <w:t xml:space="preserve">afety </w:t>
      </w:r>
      <w:r w:rsidRPr="00E013FB" w:rsidR="0020347F">
        <w:rPr>
          <w:rFonts w:ascii="Book Antiqua" w:hAnsi="Book Antiqua" w:cstheme="minorHAnsi"/>
          <w:szCs w:val="26"/>
        </w:rPr>
        <w:t>c</w:t>
      </w:r>
      <w:r w:rsidRPr="00E013FB">
        <w:rPr>
          <w:rFonts w:ascii="Book Antiqua" w:hAnsi="Book Antiqua" w:cstheme="minorHAnsi"/>
          <w:szCs w:val="26"/>
        </w:rPr>
        <w:t xml:space="preserve">ulture </w:t>
      </w:r>
      <w:r w:rsidRPr="00E013FB" w:rsidR="0020347F">
        <w:rPr>
          <w:rFonts w:ascii="Book Antiqua" w:hAnsi="Book Antiqua" w:cstheme="minorHAnsi"/>
          <w:szCs w:val="26"/>
        </w:rPr>
        <w:t>a</w:t>
      </w:r>
      <w:r w:rsidRPr="00E013FB">
        <w:rPr>
          <w:rFonts w:ascii="Book Antiqua" w:hAnsi="Book Antiqua" w:cstheme="minorHAnsi"/>
          <w:szCs w:val="26"/>
        </w:rPr>
        <w:t xml:space="preserve">ssessments </w:t>
      </w:r>
      <w:r w:rsidRPr="00E013FB" w:rsidR="003431AF">
        <w:rPr>
          <w:rFonts w:ascii="Book Antiqua" w:hAnsi="Book Antiqua" w:cstheme="minorHAnsi"/>
          <w:szCs w:val="26"/>
        </w:rPr>
        <w:t xml:space="preserve">should </w:t>
      </w:r>
      <w:r w:rsidRPr="00E013FB" w:rsidR="0020347F">
        <w:rPr>
          <w:rFonts w:ascii="Book Antiqua" w:hAnsi="Book Antiqua" w:cstheme="minorHAnsi"/>
          <w:szCs w:val="26"/>
        </w:rPr>
        <w:t>help ensure electrical corporations improve their focus on and culture of safety at all levels of the</w:t>
      </w:r>
      <w:r w:rsidRPr="00E013FB" w:rsidR="003431AF">
        <w:rPr>
          <w:rFonts w:ascii="Book Antiqua" w:hAnsi="Book Antiqua" w:cstheme="minorHAnsi"/>
          <w:szCs w:val="26"/>
        </w:rPr>
        <w:t>ir</w:t>
      </w:r>
      <w:r w:rsidRPr="00E013FB" w:rsidR="0020347F">
        <w:rPr>
          <w:rFonts w:ascii="Book Antiqua" w:hAnsi="Book Antiqua" w:cstheme="minorHAnsi"/>
          <w:szCs w:val="26"/>
        </w:rPr>
        <w:t xml:space="preserve"> </w:t>
      </w:r>
      <w:r w:rsidRPr="00E013FB" w:rsidR="003431AF">
        <w:rPr>
          <w:rFonts w:ascii="Book Antiqua" w:hAnsi="Book Antiqua" w:cstheme="minorHAnsi"/>
          <w:szCs w:val="26"/>
        </w:rPr>
        <w:t>businesses.</w:t>
      </w:r>
    </w:p>
    <w:p w:rsidRPr="00E013FB" w:rsidR="001A36E2" w:rsidP="00546EFC" w:rsidRDefault="001A36E2" w14:paraId="43839543" w14:textId="77777777">
      <w:pPr>
        <w:pStyle w:val="Res-Caption"/>
        <w:spacing w:after="120"/>
        <w:ind w:left="0"/>
        <w:rPr>
          <w:rFonts w:ascii="Book Antiqua" w:hAnsi="Book Antiqua" w:cstheme="minorHAnsi"/>
          <w:szCs w:val="26"/>
        </w:rPr>
      </w:pPr>
      <w:r w:rsidRPr="00E013FB">
        <w:rPr>
          <w:rFonts w:ascii="Book Antiqua" w:hAnsi="Book Antiqua" w:cstheme="minorHAnsi"/>
          <w:szCs w:val="26"/>
        </w:rPr>
        <w:t xml:space="preserve">ESTIMATED COST:  </w:t>
      </w:r>
    </w:p>
    <w:p w:rsidRPr="00E013FB" w:rsidR="009F11A6" w:rsidP="00546EFC" w:rsidRDefault="009F11A6" w14:paraId="4DB2D22A" w14:textId="64426CA2">
      <w:pPr>
        <w:pStyle w:val="Res-Caption"/>
        <w:numPr>
          <w:ilvl w:val="0"/>
          <w:numId w:val="35"/>
        </w:numPr>
        <w:spacing w:after="120"/>
        <w:ind w:left="1080" w:right="1440"/>
        <w:rPr>
          <w:rFonts w:ascii="Book Antiqua" w:hAnsi="Book Antiqua" w:cstheme="minorHAnsi"/>
          <w:szCs w:val="26"/>
        </w:rPr>
      </w:pPr>
      <w:r w:rsidRPr="00E013FB">
        <w:rPr>
          <w:rFonts w:ascii="Book Antiqua" w:hAnsi="Book Antiqua" w:cstheme="minorHAnsi"/>
          <w:szCs w:val="26"/>
        </w:rPr>
        <w:t xml:space="preserve">This </w:t>
      </w:r>
      <w:r w:rsidRPr="00E013FB" w:rsidR="001A36E2">
        <w:rPr>
          <w:rFonts w:ascii="Book Antiqua" w:hAnsi="Book Antiqua" w:cstheme="minorHAnsi"/>
          <w:szCs w:val="26"/>
        </w:rPr>
        <w:t xml:space="preserve">Resolution </w:t>
      </w:r>
      <w:r w:rsidRPr="00E013FB">
        <w:rPr>
          <w:rFonts w:ascii="Book Antiqua" w:hAnsi="Book Antiqua" w:cstheme="minorHAnsi"/>
          <w:szCs w:val="26"/>
        </w:rPr>
        <w:t xml:space="preserve">does not address or approve costs, but instead focuses on WMP requirements and a process for evaluating electrical corporation safety culture. </w:t>
      </w:r>
    </w:p>
    <w:p w:rsidR="00AF2C94" w:rsidP="00546EFC" w:rsidRDefault="009F11A6" w14:paraId="355A983D" w14:textId="77777777">
      <w:pPr>
        <w:pStyle w:val="Res-Caption"/>
        <w:numPr>
          <w:ilvl w:val="0"/>
          <w:numId w:val="35"/>
        </w:numPr>
        <w:spacing w:after="120"/>
        <w:ind w:left="1080" w:right="1440"/>
        <w:rPr>
          <w:rFonts w:ascii="Book Antiqua" w:hAnsi="Book Antiqua" w:cstheme="minorHAnsi"/>
          <w:szCs w:val="26"/>
        </w:rPr>
        <w:sectPr w:rsidR="00AF2C94" w:rsidSect="00546E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r w:rsidRPr="00E013FB">
        <w:rPr>
          <w:rFonts w:ascii="Book Antiqua" w:hAnsi="Book Antiqua" w:cstheme="minorHAnsi"/>
          <w:szCs w:val="26"/>
        </w:rPr>
        <w:t xml:space="preserve">WMP costs are to be addressed in electrical corporation General Rate Cases or other applications, not in WMPs or safety culture assessments.  </w:t>
      </w:r>
    </w:p>
    <w:p w:rsidRPr="00E013FB" w:rsidR="00705C88" w:rsidP="00AF2C94" w:rsidRDefault="00705C88" w14:paraId="117F41A6" w14:textId="0D626436">
      <w:pPr>
        <w:pStyle w:val="Heading1"/>
        <w:numPr>
          <w:ilvl w:val="0"/>
          <w:numId w:val="51"/>
        </w:numPr>
        <w:spacing w:before="0"/>
        <w:ind w:left="360" w:hanging="360"/>
        <w:rPr>
          <w:rFonts w:ascii="Book Antiqua" w:hAnsi="Book Antiqua" w:cstheme="minorHAnsi"/>
          <w:szCs w:val="26"/>
        </w:rPr>
      </w:pPr>
      <w:r w:rsidRPr="00E013FB">
        <w:rPr>
          <w:rFonts w:ascii="Book Antiqua" w:hAnsi="Book Antiqua" w:cstheme="minorHAnsi"/>
          <w:szCs w:val="26"/>
        </w:rPr>
        <w:lastRenderedPageBreak/>
        <w:t>Background</w:t>
      </w:r>
    </w:p>
    <w:p w:rsidRPr="00AF2C94" w:rsidR="006B0220" w:rsidP="00AF2C94" w:rsidRDefault="00705C88" w14:paraId="371F00EC" w14:textId="4CF33ECE">
      <w:pPr>
        <w:pStyle w:val="Standard"/>
      </w:pPr>
      <w:r w:rsidRPr="00E013FB">
        <w:t xml:space="preserve">The </w:t>
      </w:r>
      <w:r w:rsidRPr="00E013FB" w:rsidR="009F11A6">
        <w:t>Commission opened R</w:t>
      </w:r>
      <w:r w:rsidRPr="00E013FB" w:rsidR="009F409A">
        <w:t>ulemaking (R</w:t>
      </w:r>
      <w:r w:rsidRPr="00E013FB" w:rsidR="009F11A6">
        <w:t>.</w:t>
      </w:r>
      <w:r w:rsidRPr="00E013FB" w:rsidR="009F409A">
        <w:t xml:space="preserve">) </w:t>
      </w:r>
      <w:r w:rsidRPr="00E013FB" w:rsidR="009F11A6">
        <w:t>18-10-007 in 2018 to review the 2019 WMPs and approved those WMPs in Commission decisions pursuant to S</w:t>
      </w:r>
      <w:r w:rsidRPr="00E013FB" w:rsidR="00D70D2A">
        <w:t xml:space="preserve">enate </w:t>
      </w:r>
      <w:r w:rsidRPr="00E013FB" w:rsidR="009F11A6">
        <w:t>B</w:t>
      </w:r>
      <w:r w:rsidRPr="00E013FB" w:rsidR="00D70D2A">
        <w:t>ill</w:t>
      </w:r>
      <w:r w:rsidRPr="00E013FB" w:rsidR="009F11A6">
        <w:t xml:space="preserve"> </w:t>
      </w:r>
      <w:r w:rsidRPr="00E013FB" w:rsidR="006D4469">
        <w:t xml:space="preserve">(SB) </w:t>
      </w:r>
      <w:r w:rsidRPr="00E013FB" w:rsidR="009F11A6">
        <w:t>901. AB 1054 moved the review of WMPs to the WSD</w:t>
      </w:r>
      <w:r w:rsidRPr="00E013FB" w:rsidR="006B0220">
        <w:t xml:space="preserve">.  The legislation also </w:t>
      </w:r>
      <w:r w:rsidRPr="00E013FB" w:rsidR="009F11A6">
        <w:t xml:space="preserve">added new provisions in § 8389(d) for </w:t>
      </w:r>
      <w:r w:rsidRPr="00E013FB" w:rsidR="006B0220">
        <w:t xml:space="preserve">the </w:t>
      </w:r>
      <w:r w:rsidRPr="00E013FB" w:rsidR="009F11A6">
        <w:t xml:space="preserve">Commission to </w:t>
      </w:r>
      <w:r w:rsidRPr="00E013FB" w:rsidR="006B0220">
        <w:t xml:space="preserve">annually </w:t>
      </w:r>
      <w:r w:rsidRPr="00E013FB" w:rsidR="009F11A6">
        <w:t>adopt and approve</w:t>
      </w:r>
      <w:r w:rsidRPr="00E013FB" w:rsidR="006B0220">
        <w:t xml:space="preserve"> performance metrics for electrical corporations; requirements for wildfire mitigation plans</w:t>
      </w:r>
      <w:r w:rsidRPr="00E013FB" w:rsidR="00D70D2A">
        <w:t>;</w:t>
      </w:r>
      <w:r w:rsidRPr="00E013FB" w:rsidR="006B0220">
        <w:t xml:space="preserve"> and a process for the WSD to conduct annual safety culture assessments for each electrical corporation.</w:t>
      </w:r>
    </w:p>
    <w:p w:rsidRPr="00AF2C94" w:rsidR="00994775" w:rsidP="00AF2C94" w:rsidRDefault="006B0220" w14:paraId="10072336" w14:textId="14D5B481">
      <w:pPr>
        <w:pStyle w:val="Standard"/>
      </w:pPr>
      <w:r w:rsidRPr="00E013FB">
        <w:t>The</w:t>
      </w:r>
      <w:r w:rsidRPr="00E013FB" w:rsidR="009F11A6">
        <w:t xml:space="preserve"> </w:t>
      </w:r>
      <w:r w:rsidRPr="00E013FB" w:rsidR="00705C88">
        <w:t>Commission adopted Resolution WSD-001 setting forth the process for review of the 2020 WMPs</w:t>
      </w:r>
      <w:r w:rsidRPr="00E013FB" w:rsidR="007A459B">
        <w:t xml:space="preserve"> in light of AB 1054’s transfer of responsibility for review of WMPs to WSD</w:t>
      </w:r>
      <w:r w:rsidRPr="00E013FB" w:rsidR="00705C88">
        <w:t xml:space="preserve">.  </w:t>
      </w:r>
      <w:r w:rsidRPr="00E013FB" w:rsidR="007C17BF">
        <w:t xml:space="preserve">In June 2020, </w:t>
      </w:r>
      <w:r w:rsidRPr="00E013FB" w:rsidR="007A459B">
        <w:t>the Commission ratified the WSD’s approv</w:t>
      </w:r>
      <w:r w:rsidRPr="00E013FB" w:rsidR="00EE14B8">
        <w:t>al of</w:t>
      </w:r>
      <w:r w:rsidRPr="00E013FB" w:rsidR="007A459B">
        <w:t xml:space="preserve"> all electrical corporations’</w:t>
      </w:r>
      <w:r w:rsidRPr="00E013FB" w:rsidR="007C17BF">
        <w:t xml:space="preserve"> WMPs in </w:t>
      </w:r>
      <w:r w:rsidRPr="00E013FB" w:rsidR="007E3CC3">
        <w:t>Resolutions WSD-002 – 0</w:t>
      </w:r>
      <w:r w:rsidRPr="00E013FB" w:rsidR="00256151">
        <w:t>09,</w:t>
      </w:r>
      <w:r w:rsidRPr="00E013FB" w:rsidR="007A459B">
        <w:t xml:space="preserve"> </w:t>
      </w:r>
      <w:r w:rsidRPr="00E013FB" w:rsidR="007C17BF">
        <w:t>excep</w:t>
      </w:r>
      <w:r w:rsidRPr="00E013FB" w:rsidR="009F11A6">
        <w:t xml:space="preserve">t </w:t>
      </w:r>
      <w:r w:rsidRPr="00E013FB" w:rsidR="007C17BF">
        <w:t>Bear Valley Electric Service (BVES).</w:t>
      </w:r>
      <w:r w:rsidR="00A75EDD">
        <w:rPr>
          <w:rStyle w:val="FootnoteReference"/>
        </w:rPr>
        <w:footnoteReference w:id="4"/>
      </w:r>
      <w:r w:rsidRPr="00E013FB" w:rsidR="007C17BF">
        <w:t xml:space="preserve">  </w:t>
      </w:r>
    </w:p>
    <w:p w:rsidRPr="00AF2C94" w:rsidR="00B97C8B" w:rsidP="00AF2C94" w:rsidRDefault="00994775" w14:paraId="1BD504EE" w14:textId="79DCDD62">
      <w:pPr>
        <w:pStyle w:val="Standard"/>
      </w:pPr>
      <w:r w:rsidRPr="00E013FB">
        <w:t xml:space="preserve">The 2020 process </w:t>
      </w:r>
      <w:r w:rsidRPr="00E013FB" w:rsidR="00552394">
        <w:t>reve</w:t>
      </w:r>
      <w:r w:rsidRPr="00E013FB" w:rsidR="00D70D2A">
        <w:t>a</w:t>
      </w:r>
      <w:r w:rsidRPr="00E013FB" w:rsidR="00552394">
        <w:t xml:space="preserve">led a </w:t>
      </w:r>
      <w:r w:rsidRPr="00E013FB">
        <w:t>need for several refinements for 202</w:t>
      </w:r>
      <w:r w:rsidRPr="00E013FB" w:rsidR="00FF419D">
        <w:t>1</w:t>
      </w:r>
      <w:r w:rsidRPr="00E013FB">
        <w:t xml:space="preserve">.  </w:t>
      </w:r>
      <w:r w:rsidRPr="00E013FB" w:rsidR="00FF419D">
        <w:t>U</w:t>
      </w:r>
      <w:r w:rsidRPr="00E013FB" w:rsidR="007E3CC3">
        <w:t xml:space="preserve">tilities were inconsistent in their reporting of projected expenditures associated with </w:t>
      </w:r>
      <w:r w:rsidRPr="00E013FB" w:rsidR="00D70D2A">
        <w:t xml:space="preserve">their wildfire mitigation efforts.  </w:t>
      </w:r>
      <w:r w:rsidRPr="00E013FB" w:rsidR="007E3CC3">
        <w:t xml:space="preserve">In some cases, few cost estimates were given; in others, there </w:t>
      </w:r>
      <w:r w:rsidRPr="00E013FB" w:rsidR="00FF419D">
        <w:t>was</w:t>
      </w:r>
      <w:r w:rsidRPr="00E013FB" w:rsidR="007E3CC3">
        <w:t xml:space="preserve"> overlap and duplication a</w:t>
      </w:r>
      <w:r w:rsidRPr="00E013FB" w:rsidR="00FF419D">
        <w:t xml:space="preserve">cross </w:t>
      </w:r>
      <w:r w:rsidRPr="00E013FB" w:rsidR="007E3CC3">
        <w:t>categories.</w:t>
      </w:r>
      <w:r w:rsidR="00AF2C94">
        <w:t xml:space="preserve"> </w:t>
      </w:r>
      <w:r w:rsidRPr="00E013FB" w:rsidR="00AE149A">
        <w:t xml:space="preserve"> The revised </w:t>
      </w:r>
      <w:r w:rsidRPr="00E013FB" w:rsidR="00FF419D">
        <w:t xml:space="preserve">WMP Guidelines (Attachment </w:t>
      </w:r>
      <w:r w:rsidRPr="00E013FB" w:rsidR="00C52B3E">
        <w:t>2.2</w:t>
      </w:r>
      <w:r w:rsidRPr="00E013FB" w:rsidR="00FF419D">
        <w:t xml:space="preserve">) therefore </w:t>
      </w:r>
      <w:r w:rsidRPr="00E013FB" w:rsidR="00AE149A">
        <w:t>require additional details, cost summaries and estimates of ratepayer impacts</w:t>
      </w:r>
      <w:r w:rsidRPr="00E013FB" w:rsidR="00FF419D">
        <w:t>.</w:t>
      </w:r>
      <w:r w:rsidRPr="00E013FB" w:rsidR="00D70D2A">
        <w:t xml:space="preserve">  </w:t>
      </w:r>
      <w:r w:rsidRPr="00E013FB" w:rsidR="00FF419D">
        <w:t>Other c</w:t>
      </w:r>
      <w:r w:rsidRPr="00E013FB" w:rsidR="007E3CC3">
        <w:t>hanges</w:t>
      </w:r>
      <w:r w:rsidRPr="00E013FB" w:rsidR="002D3A2C">
        <w:t xml:space="preserve"> for 2021 WMPs</w:t>
      </w:r>
      <w:r w:rsidRPr="00E013FB" w:rsidR="007E3CC3">
        <w:t xml:space="preserve"> relate to definitions</w:t>
      </w:r>
      <w:r w:rsidRPr="00E013FB" w:rsidR="00FF419D">
        <w:t xml:space="preserve"> and</w:t>
      </w:r>
      <w:r w:rsidRPr="00E013FB" w:rsidR="007E3CC3">
        <w:t xml:space="preserve"> units of measurement used in reporting</w:t>
      </w:r>
      <w:r w:rsidRPr="00E013FB" w:rsidR="00FF419D">
        <w:t xml:space="preserve"> and </w:t>
      </w:r>
      <w:r w:rsidRPr="00E013FB" w:rsidR="007E3CC3">
        <w:t>elimination of duplicate tables or line items in tables that are not necessary for 2021 WMPs</w:t>
      </w:r>
      <w:r w:rsidRPr="00E013FB" w:rsidR="00E1689C">
        <w:t>.</w:t>
      </w:r>
    </w:p>
    <w:p w:rsidRPr="00AF2C94" w:rsidR="00B97C8B" w:rsidP="00AF2C94" w:rsidRDefault="00B97C8B" w14:paraId="06BABE37" w14:textId="07844F24">
      <w:pPr>
        <w:pStyle w:val="Standard"/>
      </w:pPr>
      <w:r w:rsidRPr="00E013FB">
        <w:t xml:space="preserve">The revised </w:t>
      </w:r>
      <w:r w:rsidRPr="00E013FB" w:rsidR="000667C4">
        <w:t>WMP Guidance</w:t>
      </w:r>
      <w:r w:rsidRPr="00E013FB">
        <w:t xml:space="preserve"> includes a “completeness checklist” detailing the 22</w:t>
      </w:r>
      <w:r w:rsidR="00AF2C94">
        <w:t> </w:t>
      </w:r>
      <w:r w:rsidRPr="00E013FB">
        <w:t>statutory requirements of AB 1054 and amended by AB 111.  It also includes tables for summarizing the projected costs of mitigations proposed in the WMP, with a column for actual 2020 expenditures, and a table for estimates of the ratepayer impacts of proposed mitigation expenditures.</w:t>
      </w:r>
    </w:p>
    <w:p w:rsidRPr="00E013FB" w:rsidR="00D70D2A" w:rsidP="00546EFC" w:rsidRDefault="00B97C8B" w14:paraId="638F70CE" w14:textId="2925F97B">
      <w:pPr>
        <w:pStyle w:val="Res-Caption"/>
        <w:ind w:left="0"/>
        <w:rPr>
          <w:rFonts w:ascii="Book Antiqua" w:hAnsi="Book Antiqua" w:cstheme="minorHAnsi"/>
          <w:szCs w:val="26"/>
        </w:rPr>
      </w:pPr>
      <w:r w:rsidRPr="00E013FB">
        <w:rPr>
          <w:rFonts w:ascii="Book Antiqua" w:hAnsi="Book Antiqua" w:cstheme="minorHAnsi"/>
          <w:szCs w:val="26"/>
        </w:rPr>
        <w:t xml:space="preserve">To consolidate data and analysis related to Public Safety Power Shutoffs (PSPS), the revised WMP </w:t>
      </w:r>
      <w:r w:rsidRPr="00E013FB" w:rsidR="000667C4">
        <w:rPr>
          <w:rFonts w:ascii="Book Antiqua" w:hAnsi="Book Antiqua" w:cstheme="minorHAnsi"/>
          <w:szCs w:val="26"/>
        </w:rPr>
        <w:t>Guid</w:t>
      </w:r>
      <w:r w:rsidRPr="00E013FB" w:rsidR="000A685E">
        <w:rPr>
          <w:rFonts w:ascii="Book Antiqua" w:hAnsi="Book Antiqua" w:cstheme="minorHAnsi"/>
          <w:szCs w:val="26"/>
        </w:rPr>
        <w:t>a</w:t>
      </w:r>
      <w:r w:rsidRPr="00E013FB" w:rsidR="000667C4">
        <w:rPr>
          <w:rFonts w:ascii="Book Antiqua" w:hAnsi="Book Antiqua" w:cstheme="minorHAnsi"/>
          <w:szCs w:val="26"/>
        </w:rPr>
        <w:t>nce</w:t>
      </w:r>
      <w:r w:rsidRPr="00E013FB">
        <w:rPr>
          <w:rFonts w:ascii="Book Antiqua" w:hAnsi="Book Antiqua" w:cstheme="minorHAnsi"/>
          <w:szCs w:val="26"/>
        </w:rPr>
        <w:t xml:space="preserve"> includes a PSPS Section requiring utilities to describe their efforts to minimize, if not eliminate, the use of PSPS as a preferred mitigation op</w:t>
      </w:r>
      <w:r w:rsidRPr="00E013FB" w:rsidR="003D21BC">
        <w:rPr>
          <w:rFonts w:ascii="Book Antiqua" w:hAnsi="Book Antiqua" w:cstheme="minorHAnsi"/>
          <w:szCs w:val="26"/>
        </w:rPr>
        <w:t>t</w:t>
      </w:r>
      <w:r w:rsidRPr="00E013FB">
        <w:rPr>
          <w:rFonts w:ascii="Book Antiqua" w:hAnsi="Book Antiqua" w:cstheme="minorHAnsi"/>
          <w:szCs w:val="26"/>
        </w:rPr>
        <w:t xml:space="preserve">ion. </w:t>
      </w:r>
    </w:p>
    <w:p w:rsidRPr="00E013FB" w:rsidR="009904FD" w:rsidP="00AF2C94" w:rsidRDefault="00830624" w14:paraId="4601E399" w14:textId="188E822F">
      <w:pPr>
        <w:pStyle w:val="Heading1"/>
        <w:numPr>
          <w:ilvl w:val="0"/>
          <w:numId w:val="51"/>
        </w:numPr>
        <w:spacing w:before="0"/>
        <w:ind w:left="360" w:right="1440" w:hanging="360"/>
        <w:rPr>
          <w:rFonts w:ascii="Book Antiqua" w:hAnsi="Book Antiqua" w:cstheme="minorHAnsi"/>
          <w:szCs w:val="26"/>
        </w:rPr>
      </w:pPr>
      <w:r w:rsidRPr="00E013FB">
        <w:rPr>
          <w:rFonts w:ascii="Book Antiqua" w:hAnsi="Book Antiqua" w:cstheme="minorHAnsi"/>
          <w:szCs w:val="26"/>
        </w:rPr>
        <w:lastRenderedPageBreak/>
        <w:t xml:space="preserve">staff proposals, </w:t>
      </w:r>
      <w:r w:rsidRPr="00E013FB" w:rsidR="009904FD">
        <w:rPr>
          <w:rFonts w:ascii="Book Antiqua" w:hAnsi="Book Antiqua" w:cstheme="minorHAnsi"/>
          <w:szCs w:val="26"/>
        </w:rPr>
        <w:t xml:space="preserve">WORKSHOP AND COMMENTS </w:t>
      </w:r>
    </w:p>
    <w:p w:rsidRPr="00AF2C94" w:rsidR="00B97C8B" w:rsidP="00AF2C94" w:rsidRDefault="00830624" w14:paraId="0CA19953" w14:textId="3510C029">
      <w:pPr>
        <w:pStyle w:val="Standard"/>
        <w:keepNext/>
        <w:keepLines/>
      </w:pPr>
      <w:r w:rsidRPr="00E013FB">
        <w:t>O</w:t>
      </w:r>
      <w:r w:rsidRPr="00E013FB" w:rsidR="007E3CC3">
        <w:t>n August 6, 2020,</w:t>
      </w:r>
      <w:r w:rsidRPr="00E013FB">
        <w:t xml:space="preserve"> </w:t>
      </w:r>
      <w:r w:rsidRPr="00E013FB" w:rsidR="00B97C8B">
        <w:t xml:space="preserve">the </w:t>
      </w:r>
      <w:r w:rsidRPr="00E013FB">
        <w:t>WSD</w:t>
      </w:r>
      <w:r w:rsidRPr="00E013FB" w:rsidR="007E3CC3">
        <w:t xml:space="preserve"> circulated a “Staff Proposal on Changes to Wildfire Mitigation Plan Requirements and Metrics Tables</w:t>
      </w:r>
      <w:r w:rsidRPr="00E013FB" w:rsidR="00FF419D">
        <w:t>.</w:t>
      </w:r>
      <w:r w:rsidRPr="00E013FB" w:rsidR="007E3CC3">
        <w:t xml:space="preserve">”  The WSD conducted </w:t>
      </w:r>
      <w:r w:rsidRPr="00E013FB" w:rsidR="00712B8C">
        <w:t xml:space="preserve">remote </w:t>
      </w:r>
      <w:r w:rsidRPr="00E013FB" w:rsidR="00705C88">
        <w:t>workshops</w:t>
      </w:r>
      <w:r w:rsidRPr="00E013FB" w:rsidR="00712B8C">
        <w:t xml:space="preserve"> </w:t>
      </w:r>
      <w:r w:rsidRPr="00E013FB" w:rsidR="00705C88">
        <w:t xml:space="preserve">on </w:t>
      </w:r>
      <w:r w:rsidRPr="00E013FB" w:rsidR="00712B8C">
        <w:t xml:space="preserve">August 12 </w:t>
      </w:r>
      <w:r w:rsidRPr="00E013FB" w:rsidR="00FF419D">
        <w:t xml:space="preserve">and </w:t>
      </w:r>
      <w:r w:rsidRPr="00E013FB" w:rsidR="00712B8C">
        <w:t>13</w:t>
      </w:r>
      <w:r w:rsidRPr="00E013FB" w:rsidR="00552394">
        <w:t>, 2020</w:t>
      </w:r>
      <w:r w:rsidRPr="00E013FB" w:rsidR="001E4BCD">
        <w:t>,</w:t>
      </w:r>
      <w:r w:rsidRPr="00E013FB" w:rsidR="00712B8C">
        <w:t xml:space="preserve"> </w:t>
      </w:r>
      <w:r w:rsidRPr="00E013FB" w:rsidR="00D70D2A">
        <w:t xml:space="preserve">(due to the COVID-19 pandemic) </w:t>
      </w:r>
      <w:r w:rsidRPr="00E013FB" w:rsidR="00705C88">
        <w:t xml:space="preserve">to present to stakeholders and the public </w:t>
      </w:r>
      <w:r w:rsidRPr="00E013FB" w:rsidR="00712B8C">
        <w:t xml:space="preserve">proposed revisions to the guidance for 2021 WMPs.  </w:t>
      </w:r>
      <w:r w:rsidRPr="00E013FB" w:rsidR="00552394">
        <w:t>T</w:t>
      </w:r>
      <w:r w:rsidRPr="00E013FB" w:rsidR="00712B8C">
        <w:t xml:space="preserve">he workshops also </w:t>
      </w:r>
      <w:r w:rsidRPr="00E013FB" w:rsidR="002A2C97">
        <w:t xml:space="preserve">introduced WSD’s </w:t>
      </w:r>
      <w:r w:rsidRPr="00E013FB" w:rsidR="00D70D2A">
        <w:t>approach to collection and naming of data relevant to wildfire mitigation</w:t>
      </w:r>
      <w:r w:rsidRPr="00E013FB" w:rsidR="00256151">
        <w:t xml:space="preserve">, and the </w:t>
      </w:r>
      <w:r w:rsidRPr="00E013FB" w:rsidR="00552394">
        <w:t>WSAB presented its proposed “</w:t>
      </w:r>
      <w:r w:rsidRPr="00E013FB" w:rsidR="002A2C97">
        <w:t>System Hardening and Electric Utility Resilience</w:t>
      </w:r>
      <w:r w:rsidRPr="00E013FB" w:rsidR="00552394">
        <w:t>”</w:t>
      </w:r>
      <w:r w:rsidRPr="00E013FB" w:rsidR="002A2C97">
        <w:t xml:space="preserve"> standard </w:t>
      </w:r>
      <w:r w:rsidRPr="00E013FB" w:rsidR="00552394">
        <w:t xml:space="preserve">contained in </w:t>
      </w:r>
      <w:r w:rsidRPr="00E013FB" w:rsidR="002A2C97">
        <w:t xml:space="preserve">its June </w:t>
      </w:r>
      <w:r w:rsidRPr="00E013FB" w:rsidR="00FD0495">
        <w:t>24</w:t>
      </w:r>
      <w:r w:rsidRPr="00E013FB" w:rsidR="00552394">
        <w:t>, 2020</w:t>
      </w:r>
      <w:r w:rsidRPr="00E013FB" w:rsidR="00FD0495">
        <w:t xml:space="preserve"> </w:t>
      </w:r>
      <w:r w:rsidRPr="00E013FB" w:rsidR="002A2C97">
        <w:t xml:space="preserve">Final Report. </w:t>
      </w:r>
    </w:p>
    <w:p w:rsidRPr="00AF2C94" w:rsidR="00E1689C" w:rsidP="00AF2C94" w:rsidRDefault="00256151" w14:paraId="7582D6DD" w14:textId="5EA8C27A">
      <w:pPr>
        <w:pStyle w:val="Standard"/>
      </w:pPr>
      <w:r w:rsidRPr="00E013FB">
        <w:t xml:space="preserve">Finally, the </w:t>
      </w:r>
      <w:r w:rsidRPr="00E013FB" w:rsidR="00B97C8B">
        <w:t>workshops reviewed and gave parties the opportunity to comment on “Draft Recommendations for Developing a Safety Culture Assessment Process,” which the WSD also circulated on August 6, 2020.</w:t>
      </w:r>
    </w:p>
    <w:p w:rsidRPr="00AF2C94" w:rsidR="00AC609F" w:rsidP="00AF2C94" w:rsidRDefault="00552394" w14:paraId="567C944F" w14:textId="0B39BD82">
      <w:pPr>
        <w:pStyle w:val="Standard"/>
      </w:pPr>
      <w:r w:rsidRPr="00E013FB">
        <w:t xml:space="preserve">On August 26, 2020, </w:t>
      </w:r>
      <w:r w:rsidRPr="00E013FB" w:rsidR="00676546">
        <w:t>t</w:t>
      </w:r>
      <w:r w:rsidRPr="00E013FB" w:rsidR="00D50741">
        <w:t xml:space="preserve">hirteen </w:t>
      </w:r>
      <w:r w:rsidRPr="00E013FB" w:rsidR="00E46C88">
        <w:t xml:space="preserve">utilities, stakeholder groups and individuals </w:t>
      </w:r>
      <w:r w:rsidRPr="00E013FB" w:rsidR="00D50741">
        <w:t xml:space="preserve">submitted comments </w:t>
      </w:r>
      <w:r w:rsidRPr="00E013FB" w:rsidR="00E46C88">
        <w:t xml:space="preserve">on the </w:t>
      </w:r>
      <w:r w:rsidRPr="00E013FB" w:rsidR="00676546">
        <w:t>s</w:t>
      </w:r>
      <w:r w:rsidRPr="00E013FB" w:rsidR="00E46C88">
        <w:t xml:space="preserve">taff </w:t>
      </w:r>
      <w:r w:rsidRPr="00E013FB" w:rsidR="00676546">
        <w:t>p</w:t>
      </w:r>
      <w:r w:rsidRPr="00E013FB" w:rsidR="00E46C88">
        <w:t>roposals and workshop.</w:t>
      </w:r>
      <w:r w:rsidRPr="00E013FB" w:rsidR="001E4BCD">
        <w:rPr>
          <w:rStyle w:val="FootnoteReference"/>
          <w:rFonts w:cstheme="minorHAnsi"/>
          <w:szCs w:val="26"/>
        </w:rPr>
        <w:footnoteReference w:id="5"/>
      </w:r>
      <w:r w:rsidRPr="00E013FB" w:rsidR="00E46C88">
        <w:t xml:space="preserve"> </w:t>
      </w:r>
      <w:r w:rsidRPr="00E013FB" w:rsidR="00676546">
        <w:t xml:space="preserve"> </w:t>
      </w:r>
      <w:r w:rsidRPr="00E013FB" w:rsidR="00E46C88">
        <w:t xml:space="preserve">Based on the comments, </w:t>
      </w:r>
      <w:r w:rsidRPr="00E013FB" w:rsidR="00CA1DD6">
        <w:t xml:space="preserve">this Resolution adopts </w:t>
      </w:r>
      <w:r w:rsidRPr="00E013FB" w:rsidR="00AC609F">
        <w:t xml:space="preserve">the following </w:t>
      </w:r>
      <w:r w:rsidRPr="00E013FB" w:rsidR="00CA1DD6">
        <w:t>refinements to the staff proposals</w:t>
      </w:r>
      <w:r w:rsidRPr="00E013FB" w:rsidR="00DC243A">
        <w:t>:</w:t>
      </w:r>
      <w:r w:rsidRPr="00E013FB" w:rsidR="00CA1DD6">
        <w:t xml:space="preserve"> </w:t>
      </w:r>
    </w:p>
    <w:p w:rsidRPr="00E013FB" w:rsidR="00AC609F" w:rsidP="00AF2C94" w:rsidRDefault="00AC609F" w14:paraId="0DD6995C" w14:textId="52DE5803">
      <w:pPr>
        <w:pStyle w:val="Standard"/>
        <w:numPr>
          <w:ilvl w:val="0"/>
          <w:numId w:val="52"/>
        </w:numPr>
        <w:spacing w:after="120"/>
        <w:ind w:left="1080" w:right="1440"/>
        <w:rPr>
          <w:rFonts w:cstheme="minorHAnsi"/>
          <w:szCs w:val="26"/>
        </w:rPr>
      </w:pPr>
      <w:r w:rsidRPr="00E013FB">
        <w:rPr>
          <w:rFonts w:cstheme="minorHAnsi"/>
          <w:szCs w:val="26"/>
        </w:rPr>
        <w:t xml:space="preserve">The </w:t>
      </w:r>
      <w:r w:rsidRPr="00E013FB" w:rsidR="00B97C8B">
        <w:rPr>
          <w:rFonts w:cstheme="minorHAnsi"/>
          <w:szCs w:val="26"/>
        </w:rPr>
        <w:t>use of</w:t>
      </w:r>
      <w:r w:rsidRPr="00E013FB" w:rsidR="00E46C88">
        <w:rPr>
          <w:rFonts w:cstheme="minorHAnsi"/>
          <w:szCs w:val="26"/>
        </w:rPr>
        <w:t xml:space="preserve"> “</w:t>
      </w:r>
      <w:r w:rsidRPr="00E013FB">
        <w:rPr>
          <w:rFonts w:cstheme="minorHAnsi"/>
          <w:szCs w:val="26"/>
        </w:rPr>
        <w:t>n</w:t>
      </w:r>
      <w:r w:rsidRPr="00E013FB" w:rsidR="00E46C88">
        <w:rPr>
          <w:rFonts w:cstheme="minorHAnsi"/>
          <w:szCs w:val="26"/>
        </w:rPr>
        <w:t xml:space="preserve">ear </w:t>
      </w:r>
      <w:r w:rsidRPr="00E013FB">
        <w:rPr>
          <w:rFonts w:cstheme="minorHAnsi"/>
          <w:szCs w:val="26"/>
        </w:rPr>
        <w:t>m</w:t>
      </w:r>
      <w:r w:rsidRPr="00E013FB" w:rsidR="00E46C88">
        <w:rPr>
          <w:rFonts w:cstheme="minorHAnsi"/>
          <w:szCs w:val="26"/>
        </w:rPr>
        <w:t>iss” events</w:t>
      </w:r>
      <w:r w:rsidRPr="00E013FB" w:rsidR="00B97C8B">
        <w:rPr>
          <w:rFonts w:cstheme="minorHAnsi"/>
          <w:szCs w:val="26"/>
        </w:rPr>
        <w:t xml:space="preserve"> in metrics reporting is revised to “risk events</w:t>
      </w:r>
      <w:r w:rsidRPr="00E013FB" w:rsidR="000A685E">
        <w:rPr>
          <w:rFonts w:cstheme="minorHAnsi"/>
          <w:szCs w:val="26"/>
        </w:rPr>
        <w:t>.</w:t>
      </w:r>
      <w:r w:rsidRPr="00E013FB" w:rsidR="00B97C8B">
        <w:rPr>
          <w:rFonts w:cstheme="minorHAnsi"/>
          <w:szCs w:val="26"/>
        </w:rPr>
        <w:t>”</w:t>
      </w:r>
      <w:r w:rsidRPr="00E013FB" w:rsidR="000A685E">
        <w:rPr>
          <w:rFonts w:cstheme="minorHAnsi"/>
          <w:szCs w:val="26"/>
        </w:rPr>
        <w:t xml:space="preserve"> </w:t>
      </w:r>
      <w:r w:rsidRPr="00E013FB" w:rsidR="00B97C8B">
        <w:rPr>
          <w:rFonts w:cstheme="minorHAnsi"/>
          <w:szCs w:val="26"/>
        </w:rPr>
        <w:t xml:space="preserve"> </w:t>
      </w:r>
      <w:r w:rsidRPr="00E013FB" w:rsidR="00D10CBE">
        <w:rPr>
          <w:rFonts w:cstheme="minorHAnsi"/>
          <w:szCs w:val="26"/>
        </w:rPr>
        <w:t xml:space="preserve">Risk events are intended to encompass the suite of all event types that may be informative of utility ignition risk. </w:t>
      </w:r>
      <w:r w:rsidRPr="00E013FB" w:rsidR="00B97C8B">
        <w:rPr>
          <w:rFonts w:cstheme="minorHAnsi"/>
          <w:szCs w:val="26"/>
        </w:rPr>
        <w:t>These are defined as an event with significant probability of ignition, including wires down, contacts with objects, line slap, events with evidence of significant heat generation, and other events that cause sparking or have the potential to cause ignition.</w:t>
      </w:r>
    </w:p>
    <w:p w:rsidRPr="00AF2C94" w:rsidR="00546EFC" w:rsidP="00AF2C94" w:rsidRDefault="00AC609F" w14:paraId="271844A6" w14:textId="00F62192">
      <w:pPr>
        <w:pStyle w:val="Standard"/>
        <w:numPr>
          <w:ilvl w:val="0"/>
          <w:numId w:val="52"/>
        </w:numPr>
        <w:spacing w:after="120"/>
        <w:ind w:left="1080" w:right="1440"/>
        <w:rPr>
          <w:rFonts w:cstheme="minorHAnsi"/>
          <w:szCs w:val="26"/>
        </w:rPr>
      </w:pPr>
      <w:r w:rsidRPr="00E013FB">
        <w:rPr>
          <w:rFonts w:cstheme="minorHAnsi"/>
          <w:szCs w:val="26"/>
        </w:rPr>
        <w:t>A</w:t>
      </w:r>
      <w:r w:rsidRPr="00E013FB" w:rsidR="00E46C88">
        <w:rPr>
          <w:rFonts w:cstheme="minorHAnsi"/>
          <w:szCs w:val="26"/>
        </w:rPr>
        <w:t xml:space="preserve">spects of the </w:t>
      </w:r>
      <w:r w:rsidRPr="00E013FB">
        <w:rPr>
          <w:rFonts w:cstheme="minorHAnsi"/>
          <w:szCs w:val="26"/>
        </w:rPr>
        <w:t xml:space="preserve">proposed </w:t>
      </w:r>
      <w:r w:rsidRPr="00E013FB" w:rsidR="00621BA2">
        <w:rPr>
          <w:rFonts w:cstheme="minorHAnsi"/>
          <w:szCs w:val="26"/>
        </w:rPr>
        <w:t xml:space="preserve">annual </w:t>
      </w:r>
      <w:r w:rsidRPr="00E013FB">
        <w:rPr>
          <w:rFonts w:cstheme="minorHAnsi"/>
          <w:szCs w:val="26"/>
        </w:rPr>
        <w:t>s</w:t>
      </w:r>
      <w:r w:rsidRPr="00E013FB" w:rsidR="00E46C88">
        <w:rPr>
          <w:rFonts w:cstheme="minorHAnsi"/>
          <w:szCs w:val="26"/>
        </w:rPr>
        <w:t xml:space="preserve">afety </w:t>
      </w:r>
      <w:r w:rsidRPr="00E013FB">
        <w:rPr>
          <w:rFonts w:cstheme="minorHAnsi"/>
          <w:szCs w:val="26"/>
        </w:rPr>
        <w:t>c</w:t>
      </w:r>
      <w:r w:rsidRPr="00E013FB" w:rsidR="00E46C88">
        <w:rPr>
          <w:rFonts w:cstheme="minorHAnsi"/>
          <w:szCs w:val="26"/>
        </w:rPr>
        <w:t xml:space="preserve">ulture </w:t>
      </w:r>
      <w:r w:rsidRPr="00E013FB">
        <w:rPr>
          <w:rFonts w:cstheme="minorHAnsi"/>
          <w:szCs w:val="26"/>
        </w:rPr>
        <w:t>a</w:t>
      </w:r>
      <w:r w:rsidRPr="00E013FB" w:rsidR="00E46C88">
        <w:rPr>
          <w:rFonts w:cstheme="minorHAnsi"/>
          <w:szCs w:val="26"/>
        </w:rPr>
        <w:t xml:space="preserve">ssessment process </w:t>
      </w:r>
      <w:r w:rsidRPr="00E013FB">
        <w:rPr>
          <w:rFonts w:cstheme="minorHAnsi"/>
          <w:szCs w:val="26"/>
        </w:rPr>
        <w:t>are revised with respect to s</w:t>
      </w:r>
      <w:r w:rsidRPr="00E013FB" w:rsidR="00E46C88">
        <w:rPr>
          <w:rFonts w:cstheme="minorHAnsi"/>
          <w:szCs w:val="26"/>
        </w:rPr>
        <w:t xml:space="preserve">afety </w:t>
      </w:r>
      <w:r w:rsidRPr="00E013FB">
        <w:rPr>
          <w:rFonts w:cstheme="minorHAnsi"/>
          <w:szCs w:val="26"/>
        </w:rPr>
        <w:t>g</w:t>
      </w:r>
      <w:r w:rsidRPr="00E013FB" w:rsidR="00E46C88">
        <w:rPr>
          <w:rFonts w:cstheme="minorHAnsi"/>
          <w:szCs w:val="26"/>
        </w:rPr>
        <w:t xml:space="preserve">overnance and proposed tools for assessment.  </w:t>
      </w:r>
    </w:p>
    <w:p w:rsidRPr="00AF2C94" w:rsidR="00546EFC" w:rsidP="00AF2C94" w:rsidRDefault="00E46C88" w14:paraId="67DB532D" w14:textId="7D72805A">
      <w:pPr>
        <w:pStyle w:val="Standard"/>
      </w:pPr>
      <w:r w:rsidRPr="00E013FB">
        <w:t xml:space="preserve">Among comments and suggestions that were incorporated into the final </w:t>
      </w:r>
      <w:r w:rsidRPr="00E013FB" w:rsidR="00676546">
        <w:t>proposals,</w:t>
      </w:r>
      <w:r w:rsidRPr="00E013FB" w:rsidR="00FA0CCB">
        <w:t xml:space="preserve"> the following are</w:t>
      </w:r>
      <w:r w:rsidRPr="00E013FB" w:rsidR="00676546">
        <w:t xml:space="preserve"> reflected in the Attachments to this Resolution</w:t>
      </w:r>
      <w:r w:rsidRPr="00E013FB">
        <w:t>:</w:t>
      </w:r>
    </w:p>
    <w:p w:rsidRPr="00E013FB" w:rsidR="00FD0495" w:rsidP="00AF2C94" w:rsidRDefault="00FD0495" w14:paraId="189ED29A" w14:textId="7C7F102E">
      <w:pPr>
        <w:pStyle w:val="Standard"/>
        <w:numPr>
          <w:ilvl w:val="0"/>
          <w:numId w:val="52"/>
        </w:numPr>
        <w:spacing w:after="120"/>
        <w:ind w:left="1080" w:right="1440"/>
        <w:rPr>
          <w:rFonts w:cstheme="minorHAnsi"/>
          <w:szCs w:val="26"/>
        </w:rPr>
      </w:pPr>
      <w:r w:rsidRPr="00E013FB">
        <w:rPr>
          <w:rFonts w:cstheme="minorHAnsi"/>
          <w:szCs w:val="26"/>
        </w:rPr>
        <w:lastRenderedPageBreak/>
        <w:t>The</w:t>
      </w:r>
      <w:r w:rsidRPr="00E013FB" w:rsidR="00676546">
        <w:rPr>
          <w:rFonts w:cstheme="minorHAnsi"/>
          <w:szCs w:val="26"/>
        </w:rPr>
        <w:t xml:space="preserve"> </w:t>
      </w:r>
      <w:r w:rsidRPr="00E013FB">
        <w:rPr>
          <w:rFonts w:cstheme="minorHAnsi"/>
          <w:szCs w:val="26"/>
        </w:rPr>
        <w:t xml:space="preserve">IOUs and Mussey Grade Road Alliance </w:t>
      </w:r>
      <w:r w:rsidRPr="00E013FB" w:rsidR="00676546">
        <w:rPr>
          <w:rFonts w:cstheme="minorHAnsi"/>
          <w:szCs w:val="26"/>
        </w:rPr>
        <w:t xml:space="preserve">questioned the value </w:t>
      </w:r>
      <w:r w:rsidRPr="00E013FB">
        <w:rPr>
          <w:rFonts w:cstheme="minorHAnsi"/>
          <w:szCs w:val="26"/>
        </w:rPr>
        <w:t xml:space="preserve">of </w:t>
      </w:r>
      <w:r w:rsidRPr="00E013FB" w:rsidR="00676546">
        <w:rPr>
          <w:rFonts w:cstheme="minorHAnsi"/>
          <w:szCs w:val="26"/>
        </w:rPr>
        <w:t>n</w:t>
      </w:r>
      <w:r w:rsidRPr="00E013FB">
        <w:rPr>
          <w:rFonts w:cstheme="minorHAnsi"/>
          <w:szCs w:val="26"/>
        </w:rPr>
        <w:t xml:space="preserve">ear </w:t>
      </w:r>
      <w:r w:rsidRPr="00E013FB" w:rsidR="00676546">
        <w:rPr>
          <w:rFonts w:cstheme="minorHAnsi"/>
          <w:szCs w:val="26"/>
        </w:rPr>
        <w:t>m</w:t>
      </w:r>
      <w:r w:rsidRPr="00E013FB">
        <w:rPr>
          <w:rFonts w:cstheme="minorHAnsi"/>
          <w:szCs w:val="26"/>
        </w:rPr>
        <w:t xml:space="preserve">iss reporting as defined.  </w:t>
      </w:r>
      <w:r w:rsidRPr="00E013FB" w:rsidR="00676546">
        <w:rPr>
          <w:rFonts w:cstheme="minorHAnsi"/>
          <w:szCs w:val="26"/>
        </w:rPr>
        <w:t xml:space="preserve">This Resolution uses </w:t>
      </w:r>
      <w:r w:rsidRPr="00E013FB">
        <w:rPr>
          <w:rFonts w:cstheme="minorHAnsi"/>
          <w:szCs w:val="26"/>
        </w:rPr>
        <w:t xml:space="preserve">the term </w:t>
      </w:r>
      <w:r w:rsidRPr="00E013FB" w:rsidR="00676546">
        <w:rPr>
          <w:rFonts w:cstheme="minorHAnsi"/>
          <w:szCs w:val="26"/>
        </w:rPr>
        <w:t>“r</w:t>
      </w:r>
      <w:r w:rsidRPr="00E013FB">
        <w:rPr>
          <w:rFonts w:cstheme="minorHAnsi"/>
          <w:szCs w:val="26"/>
        </w:rPr>
        <w:t xml:space="preserve">isk </w:t>
      </w:r>
      <w:r w:rsidRPr="00E013FB" w:rsidR="00676546">
        <w:rPr>
          <w:rFonts w:cstheme="minorHAnsi"/>
          <w:szCs w:val="26"/>
        </w:rPr>
        <w:t>e</w:t>
      </w:r>
      <w:r w:rsidRPr="00E013FB">
        <w:rPr>
          <w:rFonts w:cstheme="minorHAnsi"/>
          <w:szCs w:val="26"/>
        </w:rPr>
        <w:t>vents</w:t>
      </w:r>
      <w:r w:rsidRPr="00E013FB" w:rsidR="00676546">
        <w:rPr>
          <w:rFonts w:cstheme="minorHAnsi"/>
          <w:szCs w:val="26"/>
        </w:rPr>
        <w:t>”</w:t>
      </w:r>
      <w:r w:rsidRPr="00E013FB">
        <w:rPr>
          <w:rFonts w:cstheme="minorHAnsi"/>
          <w:szCs w:val="26"/>
        </w:rPr>
        <w:t xml:space="preserve"> to ensure consistency with data currently collected</w:t>
      </w:r>
      <w:r w:rsidRPr="00E013FB" w:rsidR="000A685E">
        <w:rPr>
          <w:rFonts w:cstheme="minorHAnsi"/>
          <w:szCs w:val="26"/>
        </w:rPr>
        <w:t>, as noted above</w:t>
      </w:r>
      <w:r w:rsidRPr="00E013FB">
        <w:rPr>
          <w:rFonts w:cstheme="minorHAnsi"/>
          <w:szCs w:val="26"/>
        </w:rPr>
        <w:t>.</w:t>
      </w:r>
      <w:r w:rsidRPr="00E013FB" w:rsidR="00647327">
        <w:rPr>
          <w:rFonts w:cstheme="minorHAnsi"/>
          <w:szCs w:val="26"/>
        </w:rPr>
        <w:t xml:space="preserve">  </w:t>
      </w:r>
    </w:p>
    <w:p w:rsidRPr="00E013FB" w:rsidR="00E46C88" w:rsidP="00AF2C94" w:rsidRDefault="00676546" w14:paraId="5DAE3365" w14:textId="54361870">
      <w:pPr>
        <w:pStyle w:val="Standard"/>
        <w:numPr>
          <w:ilvl w:val="0"/>
          <w:numId w:val="52"/>
        </w:numPr>
        <w:spacing w:after="120"/>
        <w:ind w:left="1080" w:right="1440"/>
        <w:rPr>
          <w:rFonts w:cstheme="minorHAnsi"/>
          <w:szCs w:val="26"/>
        </w:rPr>
      </w:pPr>
      <w:r w:rsidRPr="00E013FB">
        <w:rPr>
          <w:rFonts w:cstheme="minorHAnsi"/>
          <w:szCs w:val="26"/>
        </w:rPr>
        <w:t xml:space="preserve">The </w:t>
      </w:r>
      <w:r w:rsidRPr="00E013FB" w:rsidR="00E46C88">
        <w:rPr>
          <w:rFonts w:cstheme="minorHAnsi"/>
          <w:szCs w:val="26"/>
        </w:rPr>
        <w:t xml:space="preserve">IOUs and TURN raised concerns about the </w:t>
      </w:r>
      <w:r w:rsidRPr="00E013FB">
        <w:rPr>
          <w:rFonts w:cstheme="minorHAnsi"/>
          <w:szCs w:val="26"/>
        </w:rPr>
        <w:t xml:space="preserve">proposed </w:t>
      </w:r>
      <w:r w:rsidRPr="00E013FB" w:rsidR="00E46C88">
        <w:rPr>
          <w:rFonts w:cstheme="minorHAnsi"/>
          <w:szCs w:val="26"/>
        </w:rPr>
        <w:t>schedule for</w:t>
      </w:r>
      <w:r w:rsidRPr="00E013FB">
        <w:rPr>
          <w:rFonts w:cstheme="minorHAnsi"/>
          <w:szCs w:val="26"/>
        </w:rPr>
        <w:t xml:space="preserve"> WMP</w:t>
      </w:r>
      <w:r w:rsidRPr="00E013FB" w:rsidR="00E46C88">
        <w:rPr>
          <w:rFonts w:cstheme="minorHAnsi"/>
          <w:szCs w:val="26"/>
        </w:rPr>
        <w:t xml:space="preserve"> filing and evaluation</w:t>
      </w:r>
      <w:r w:rsidRPr="00E013FB">
        <w:rPr>
          <w:rFonts w:cstheme="minorHAnsi"/>
          <w:szCs w:val="26"/>
        </w:rPr>
        <w:t xml:space="preserve">.  </w:t>
      </w:r>
      <w:r w:rsidRPr="00E013FB" w:rsidR="000A685E">
        <w:rPr>
          <w:rFonts w:cstheme="minorHAnsi"/>
          <w:szCs w:val="26"/>
        </w:rPr>
        <w:t>T</w:t>
      </w:r>
      <w:r w:rsidRPr="00E013FB">
        <w:rPr>
          <w:rFonts w:cstheme="minorHAnsi"/>
          <w:szCs w:val="26"/>
        </w:rPr>
        <w:t xml:space="preserve">his Resolution adopts a </w:t>
      </w:r>
      <w:r w:rsidRPr="00E013FB" w:rsidR="00E46C88">
        <w:rPr>
          <w:rFonts w:cstheme="minorHAnsi"/>
          <w:szCs w:val="26"/>
        </w:rPr>
        <w:t>“phased” approach to afford</w:t>
      </w:r>
      <w:r w:rsidRPr="00E013FB">
        <w:rPr>
          <w:rFonts w:cstheme="minorHAnsi"/>
          <w:szCs w:val="26"/>
        </w:rPr>
        <w:t xml:space="preserve"> the</w:t>
      </w:r>
      <w:r w:rsidRPr="00E013FB" w:rsidR="00E46C88">
        <w:rPr>
          <w:rFonts w:cstheme="minorHAnsi"/>
          <w:szCs w:val="26"/>
        </w:rPr>
        <w:t xml:space="preserve"> </w:t>
      </w:r>
      <w:r w:rsidRPr="00E013FB" w:rsidR="009A6042">
        <w:rPr>
          <w:rFonts w:cstheme="minorHAnsi"/>
          <w:szCs w:val="26"/>
        </w:rPr>
        <w:t xml:space="preserve">WSD and </w:t>
      </w:r>
      <w:r w:rsidRPr="00E013FB">
        <w:rPr>
          <w:rFonts w:cstheme="minorHAnsi"/>
          <w:szCs w:val="26"/>
        </w:rPr>
        <w:t>p</w:t>
      </w:r>
      <w:r w:rsidRPr="00E013FB" w:rsidR="009A6042">
        <w:rPr>
          <w:rFonts w:cstheme="minorHAnsi"/>
          <w:szCs w:val="26"/>
        </w:rPr>
        <w:t>arties additional</w:t>
      </w:r>
      <w:r w:rsidRPr="00E013FB" w:rsidR="00E46C88">
        <w:rPr>
          <w:rFonts w:cstheme="minorHAnsi"/>
          <w:szCs w:val="26"/>
        </w:rPr>
        <w:t xml:space="preserve"> time</w:t>
      </w:r>
      <w:r w:rsidRPr="00E013FB">
        <w:rPr>
          <w:rFonts w:cstheme="minorHAnsi"/>
          <w:szCs w:val="26"/>
        </w:rPr>
        <w:t xml:space="preserve"> to review WMPs</w:t>
      </w:r>
      <w:r w:rsidRPr="00E013FB" w:rsidR="00E46C88">
        <w:rPr>
          <w:rFonts w:cstheme="minorHAnsi"/>
          <w:szCs w:val="26"/>
        </w:rPr>
        <w:t xml:space="preserve">. </w:t>
      </w:r>
    </w:p>
    <w:p w:rsidRPr="00E013FB" w:rsidR="00E46C88" w:rsidP="00AF2C94" w:rsidRDefault="00676546" w14:paraId="5CA051BC" w14:textId="57DC3F89">
      <w:pPr>
        <w:pStyle w:val="Standard"/>
        <w:numPr>
          <w:ilvl w:val="0"/>
          <w:numId w:val="52"/>
        </w:numPr>
        <w:spacing w:after="120"/>
        <w:ind w:left="1080" w:right="1440"/>
        <w:rPr>
          <w:rFonts w:cstheme="minorHAnsi"/>
          <w:szCs w:val="26"/>
        </w:rPr>
      </w:pPr>
      <w:r w:rsidRPr="00E013FB">
        <w:rPr>
          <w:rFonts w:cstheme="minorHAnsi"/>
          <w:szCs w:val="26"/>
        </w:rPr>
        <w:t xml:space="preserve">The </w:t>
      </w:r>
      <w:r w:rsidRPr="00E013FB" w:rsidR="00E46C88">
        <w:rPr>
          <w:rFonts w:cstheme="minorHAnsi"/>
          <w:szCs w:val="26"/>
        </w:rPr>
        <w:t xml:space="preserve">IOUs and TURN questioned the use of outcome metrics to measure </w:t>
      </w:r>
      <w:r w:rsidRPr="00E013FB">
        <w:rPr>
          <w:rFonts w:cstheme="minorHAnsi"/>
          <w:szCs w:val="26"/>
        </w:rPr>
        <w:t>sa</w:t>
      </w:r>
      <w:r w:rsidRPr="00E013FB" w:rsidR="00E46C88">
        <w:rPr>
          <w:rFonts w:cstheme="minorHAnsi"/>
          <w:szCs w:val="26"/>
        </w:rPr>
        <w:t xml:space="preserve">fety </w:t>
      </w:r>
      <w:r w:rsidRPr="00E013FB">
        <w:rPr>
          <w:rFonts w:cstheme="minorHAnsi"/>
          <w:szCs w:val="26"/>
        </w:rPr>
        <w:t>c</w:t>
      </w:r>
      <w:r w:rsidRPr="00E013FB" w:rsidR="00E46C88">
        <w:rPr>
          <w:rFonts w:cstheme="minorHAnsi"/>
          <w:szCs w:val="26"/>
        </w:rPr>
        <w:t xml:space="preserve">ulture. </w:t>
      </w:r>
      <w:r w:rsidRPr="00E013FB">
        <w:rPr>
          <w:rFonts w:cstheme="minorHAnsi"/>
          <w:szCs w:val="26"/>
        </w:rPr>
        <w:t xml:space="preserve"> </w:t>
      </w:r>
      <w:r w:rsidRPr="00E013FB" w:rsidR="000A685E">
        <w:rPr>
          <w:rFonts w:cstheme="minorHAnsi"/>
          <w:szCs w:val="26"/>
        </w:rPr>
        <w:t>While o</w:t>
      </w:r>
      <w:r w:rsidRPr="00E013FB">
        <w:rPr>
          <w:rFonts w:cstheme="minorHAnsi"/>
          <w:szCs w:val="26"/>
        </w:rPr>
        <w:t xml:space="preserve">utcome metrics </w:t>
      </w:r>
      <w:r w:rsidRPr="00E013FB" w:rsidR="00FA0CCB">
        <w:rPr>
          <w:rFonts w:cstheme="minorHAnsi"/>
          <w:szCs w:val="26"/>
        </w:rPr>
        <w:t xml:space="preserve">will continue to be </w:t>
      </w:r>
      <w:r w:rsidRPr="00E013FB" w:rsidR="000A685E">
        <w:rPr>
          <w:rFonts w:cstheme="minorHAnsi"/>
          <w:szCs w:val="26"/>
        </w:rPr>
        <w:t xml:space="preserve">used, </w:t>
      </w:r>
      <w:r w:rsidRPr="00E013FB" w:rsidR="00E46C88">
        <w:rPr>
          <w:rFonts w:cstheme="minorHAnsi"/>
          <w:szCs w:val="26"/>
        </w:rPr>
        <w:t xml:space="preserve">the </w:t>
      </w:r>
      <w:r w:rsidRPr="00E013FB" w:rsidR="003D21BC">
        <w:rPr>
          <w:rFonts w:cstheme="minorHAnsi"/>
          <w:szCs w:val="26"/>
        </w:rPr>
        <w:t xml:space="preserve">assessment </w:t>
      </w:r>
      <w:r w:rsidRPr="00E013FB" w:rsidR="00E46C88">
        <w:rPr>
          <w:rFonts w:cstheme="minorHAnsi"/>
          <w:szCs w:val="26"/>
        </w:rPr>
        <w:t xml:space="preserve">process will </w:t>
      </w:r>
      <w:r w:rsidRPr="00E013FB" w:rsidR="000A685E">
        <w:rPr>
          <w:rFonts w:cstheme="minorHAnsi"/>
          <w:szCs w:val="26"/>
        </w:rPr>
        <w:t xml:space="preserve">also </w:t>
      </w:r>
      <w:r w:rsidRPr="00E013FB" w:rsidR="00E46C88">
        <w:rPr>
          <w:rFonts w:cstheme="minorHAnsi"/>
          <w:szCs w:val="26"/>
        </w:rPr>
        <w:t>identify</w:t>
      </w:r>
      <w:r w:rsidRPr="00E013FB" w:rsidR="00DC243A">
        <w:rPr>
          <w:rFonts w:cstheme="minorHAnsi"/>
          <w:szCs w:val="26"/>
        </w:rPr>
        <w:t xml:space="preserve"> </w:t>
      </w:r>
      <w:r w:rsidRPr="00E013FB" w:rsidR="00FA0CCB">
        <w:rPr>
          <w:rFonts w:cstheme="minorHAnsi"/>
          <w:szCs w:val="26"/>
        </w:rPr>
        <w:t>”indicators of culture</w:t>
      </w:r>
      <w:r w:rsidRPr="00E013FB" w:rsidR="000A685E">
        <w:rPr>
          <w:rFonts w:cstheme="minorHAnsi"/>
          <w:szCs w:val="26"/>
        </w:rPr>
        <w:t xml:space="preserve">.”  </w:t>
      </w:r>
      <w:r w:rsidRPr="00E013FB" w:rsidR="00566F93">
        <w:rPr>
          <w:rFonts w:cstheme="minorHAnsi"/>
          <w:szCs w:val="26"/>
        </w:rPr>
        <w:t xml:space="preserve"> </w:t>
      </w:r>
    </w:p>
    <w:p w:rsidRPr="00E013FB" w:rsidR="00E46C88" w:rsidP="00AF2C94" w:rsidRDefault="00E46C88" w14:paraId="66144EDD" w14:textId="27C0372B">
      <w:pPr>
        <w:pStyle w:val="Standard"/>
        <w:numPr>
          <w:ilvl w:val="0"/>
          <w:numId w:val="52"/>
        </w:numPr>
        <w:spacing w:after="120"/>
        <w:ind w:left="1080" w:right="1440"/>
        <w:rPr>
          <w:rFonts w:cstheme="minorHAnsi"/>
          <w:szCs w:val="26"/>
        </w:rPr>
      </w:pPr>
      <w:r w:rsidRPr="00E013FB">
        <w:rPr>
          <w:rFonts w:cstheme="minorHAnsi"/>
          <w:szCs w:val="26"/>
        </w:rPr>
        <w:t xml:space="preserve">TURN warned against the potential for utility manipulation of the information provided in self-assessments of </w:t>
      </w:r>
      <w:r w:rsidRPr="00E013FB" w:rsidR="00676546">
        <w:rPr>
          <w:rFonts w:cstheme="minorHAnsi"/>
          <w:szCs w:val="26"/>
        </w:rPr>
        <w:t>safe</w:t>
      </w:r>
      <w:r w:rsidRPr="00E013FB">
        <w:rPr>
          <w:rFonts w:cstheme="minorHAnsi"/>
          <w:szCs w:val="26"/>
        </w:rPr>
        <w:t xml:space="preserve">ty </w:t>
      </w:r>
      <w:r w:rsidRPr="00E013FB" w:rsidR="00676546">
        <w:rPr>
          <w:rFonts w:cstheme="minorHAnsi"/>
          <w:szCs w:val="26"/>
        </w:rPr>
        <w:t>c</w:t>
      </w:r>
      <w:r w:rsidRPr="00E013FB">
        <w:rPr>
          <w:rFonts w:cstheme="minorHAnsi"/>
          <w:szCs w:val="26"/>
        </w:rPr>
        <w:t xml:space="preserve">ulture.  These concerns will be balanced by use of a </w:t>
      </w:r>
      <w:r w:rsidRPr="00E013FB" w:rsidR="00D10CBE">
        <w:rPr>
          <w:rFonts w:cstheme="minorHAnsi"/>
          <w:szCs w:val="26"/>
        </w:rPr>
        <w:t xml:space="preserve">WSD </w:t>
      </w:r>
      <w:r w:rsidRPr="00E013FB">
        <w:rPr>
          <w:rFonts w:cstheme="minorHAnsi"/>
          <w:szCs w:val="26"/>
        </w:rPr>
        <w:t xml:space="preserve">wildfire workforce survey and in-person interviews with targeted utility staff. </w:t>
      </w:r>
    </w:p>
    <w:p w:rsidRPr="00E013FB" w:rsidR="001A242B" w:rsidP="00546EFC" w:rsidRDefault="001A242B" w14:paraId="59980866" w14:textId="5974E88D">
      <w:pPr>
        <w:pStyle w:val="Heading1"/>
        <w:numPr>
          <w:ilvl w:val="0"/>
          <w:numId w:val="51"/>
        </w:numPr>
        <w:spacing w:before="240"/>
        <w:ind w:left="720"/>
        <w:rPr>
          <w:rFonts w:ascii="Book Antiqua" w:hAnsi="Book Antiqua" w:cstheme="minorHAnsi"/>
          <w:szCs w:val="26"/>
        </w:rPr>
      </w:pPr>
      <w:r w:rsidRPr="00E013FB">
        <w:rPr>
          <w:rFonts w:ascii="Book Antiqua" w:hAnsi="Book Antiqua" w:cstheme="minorHAnsi"/>
          <w:szCs w:val="26"/>
        </w:rPr>
        <w:t>Discussion</w:t>
      </w:r>
    </w:p>
    <w:p w:rsidRPr="00E013FB" w:rsidR="006D0BFD" w:rsidP="003923D6" w:rsidRDefault="006D0BFD" w14:paraId="27E5DEB0" w14:textId="357AEC34">
      <w:pPr>
        <w:pStyle w:val="Res-Caption"/>
        <w:numPr>
          <w:ilvl w:val="0"/>
          <w:numId w:val="38"/>
        </w:numPr>
        <w:rPr>
          <w:rFonts w:ascii="Book Antiqua" w:hAnsi="Book Antiqua" w:cstheme="minorHAnsi"/>
          <w:b/>
          <w:bCs/>
          <w:szCs w:val="26"/>
        </w:rPr>
      </w:pPr>
      <w:r w:rsidRPr="00E013FB">
        <w:rPr>
          <w:rFonts w:ascii="Book Antiqua" w:hAnsi="Book Antiqua" w:cstheme="minorHAnsi"/>
          <w:b/>
          <w:bCs/>
          <w:szCs w:val="26"/>
        </w:rPr>
        <w:t xml:space="preserve">Attachment </w:t>
      </w:r>
      <w:r w:rsidRPr="00E013FB" w:rsidR="00F05636">
        <w:rPr>
          <w:rFonts w:ascii="Book Antiqua" w:hAnsi="Book Antiqua" w:cstheme="minorHAnsi"/>
          <w:b/>
          <w:bCs/>
          <w:szCs w:val="26"/>
        </w:rPr>
        <w:t>1</w:t>
      </w:r>
      <w:r w:rsidRPr="00E013FB">
        <w:rPr>
          <w:rFonts w:ascii="Book Antiqua" w:hAnsi="Book Antiqua" w:cstheme="minorHAnsi"/>
          <w:b/>
          <w:bCs/>
          <w:szCs w:val="26"/>
        </w:rPr>
        <w:t>: Incorporation of WSAB Recommendations</w:t>
      </w:r>
    </w:p>
    <w:p w:rsidRPr="00E013FB" w:rsidR="006D0BFD" w:rsidP="001E068E" w:rsidRDefault="006D0BFD" w14:paraId="6D9AF037" w14:textId="6BFE621E">
      <w:pPr>
        <w:pStyle w:val="Res-Caption"/>
        <w:ind w:left="0"/>
        <w:rPr>
          <w:rFonts w:ascii="Book Antiqua" w:hAnsi="Book Antiqua" w:cstheme="minorHAnsi"/>
          <w:b/>
          <w:bCs/>
          <w:szCs w:val="26"/>
        </w:rPr>
      </w:pPr>
    </w:p>
    <w:p w:rsidRPr="00E013FB" w:rsidR="006D0BFD" w:rsidP="00AF2C94" w:rsidRDefault="00A00588" w14:paraId="436DA908" w14:textId="755BCA74">
      <w:pPr>
        <w:pStyle w:val="Standard"/>
      </w:pPr>
      <w:r w:rsidRPr="00E013FB">
        <w:t xml:space="preserve">Section </w:t>
      </w:r>
      <w:r w:rsidRPr="00E013FB" w:rsidR="006D0BFD">
        <w:t>8389(b) directs the WSAB to make recommendations to the WS</w:t>
      </w:r>
      <w:r w:rsidRPr="00E013FB" w:rsidR="004311FF">
        <w:t>D</w:t>
      </w:r>
      <w:r w:rsidRPr="00E013FB" w:rsidR="006D0BFD">
        <w:t xml:space="preserve"> by June 30, 2020 and annually thereafter on:</w:t>
      </w:r>
    </w:p>
    <w:p w:rsidRPr="00E013FB" w:rsidR="006D0BFD" w:rsidP="00AF2C94" w:rsidRDefault="006D0BFD" w14:paraId="60FA768A" w14:textId="723923CD">
      <w:pPr>
        <w:pStyle w:val="Res-Caption"/>
        <w:numPr>
          <w:ilvl w:val="0"/>
          <w:numId w:val="49"/>
        </w:numPr>
        <w:spacing w:after="120"/>
        <w:ind w:left="1080" w:right="1440"/>
        <w:rPr>
          <w:rFonts w:ascii="Book Antiqua" w:hAnsi="Book Antiqua" w:cstheme="minorHAnsi"/>
          <w:szCs w:val="26"/>
        </w:rPr>
      </w:pPr>
      <w:r w:rsidRPr="00E013FB">
        <w:rPr>
          <w:rFonts w:ascii="Book Antiqua" w:hAnsi="Book Antiqua" w:cstheme="minorHAnsi"/>
          <w:szCs w:val="26"/>
        </w:rPr>
        <w:t>Appropriate performance metrics and processes for determining each electrical corporation’s compliance with its approved WMP</w:t>
      </w:r>
      <w:r w:rsidRPr="00E013FB" w:rsidR="00FD0495">
        <w:rPr>
          <w:rFonts w:ascii="Book Antiqua" w:hAnsi="Book Antiqua" w:cstheme="minorHAnsi"/>
          <w:szCs w:val="26"/>
        </w:rPr>
        <w:t>;</w:t>
      </w:r>
    </w:p>
    <w:p w:rsidRPr="00E013FB" w:rsidR="006D0BFD" w:rsidP="00AF2C94" w:rsidRDefault="006D0BFD" w14:paraId="03A275C9" w14:textId="38B8AC28">
      <w:pPr>
        <w:pStyle w:val="Res-Caption"/>
        <w:numPr>
          <w:ilvl w:val="0"/>
          <w:numId w:val="49"/>
        </w:numPr>
        <w:spacing w:after="120"/>
        <w:ind w:left="1080" w:right="1440"/>
        <w:rPr>
          <w:rFonts w:ascii="Book Antiqua" w:hAnsi="Book Antiqua" w:cstheme="minorHAnsi"/>
          <w:szCs w:val="26"/>
        </w:rPr>
      </w:pPr>
      <w:r w:rsidRPr="00E013FB">
        <w:rPr>
          <w:rFonts w:ascii="Book Antiqua" w:hAnsi="Book Antiqua" w:cstheme="minorHAnsi"/>
          <w:szCs w:val="26"/>
        </w:rPr>
        <w:t xml:space="preserve">Appropriate requirements in addition to the requirements set forth in </w:t>
      </w:r>
      <w:r w:rsidRPr="00E013FB" w:rsidR="00FD0495">
        <w:rPr>
          <w:rFonts w:ascii="Book Antiqua" w:hAnsi="Book Antiqua" w:cstheme="minorHAnsi"/>
          <w:szCs w:val="26"/>
        </w:rPr>
        <w:t>§</w:t>
      </w:r>
      <w:r w:rsidRPr="00E013FB" w:rsidR="00C74010">
        <w:rPr>
          <w:rFonts w:ascii="Book Antiqua" w:hAnsi="Book Antiqua" w:cstheme="minorHAnsi"/>
          <w:szCs w:val="26"/>
        </w:rPr>
        <w:t xml:space="preserve"> </w:t>
      </w:r>
      <w:r w:rsidRPr="00E013FB">
        <w:rPr>
          <w:rFonts w:ascii="Book Antiqua" w:hAnsi="Book Antiqua" w:cstheme="minorHAnsi"/>
          <w:szCs w:val="26"/>
        </w:rPr>
        <w:t>8386 for the</w:t>
      </w:r>
      <w:r w:rsidRPr="00E013FB" w:rsidR="00FD0495">
        <w:rPr>
          <w:rFonts w:ascii="Book Antiqua" w:hAnsi="Book Antiqua" w:cstheme="minorHAnsi"/>
          <w:szCs w:val="26"/>
        </w:rPr>
        <w:t xml:space="preserve"> </w:t>
      </w:r>
      <w:r w:rsidRPr="00E013FB">
        <w:rPr>
          <w:rFonts w:ascii="Book Antiqua" w:hAnsi="Book Antiqua" w:cstheme="minorHAnsi"/>
          <w:szCs w:val="26"/>
        </w:rPr>
        <w:t>WMP</w:t>
      </w:r>
      <w:r w:rsidRPr="00E013FB" w:rsidR="00FD0495">
        <w:rPr>
          <w:rFonts w:ascii="Book Antiqua" w:hAnsi="Book Antiqua" w:cstheme="minorHAnsi"/>
          <w:szCs w:val="26"/>
        </w:rPr>
        <w:t>;</w:t>
      </w:r>
    </w:p>
    <w:p w:rsidRPr="00E013FB" w:rsidR="006D0BFD" w:rsidP="00AF2C94" w:rsidRDefault="006D0BFD" w14:paraId="0A8D57D8" w14:textId="06ED56AB">
      <w:pPr>
        <w:pStyle w:val="Res-Caption"/>
        <w:numPr>
          <w:ilvl w:val="0"/>
          <w:numId w:val="49"/>
        </w:numPr>
        <w:spacing w:after="120"/>
        <w:ind w:left="1080" w:right="1440"/>
        <w:rPr>
          <w:rFonts w:ascii="Book Antiqua" w:hAnsi="Book Antiqua" w:cstheme="minorHAnsi"/>
          <w:szCs w:val="26"/>
        </w:rPr>
      </w:pPr>
      <w:r w:rsidRPr="00E013FB">
        <w:rPr>
          <w:rFonts w:ascii="Book Antiqua" w:hAnsi="Book Antiqua" w:cstheme="minorHAnsi"/>
          <w:szCs w:val="26"/>
        </w:rPr>
        <w:t>The appropriate scope and process for assessing the safety culture of an electrical corporation</w:t>
      </w:r>
      <w:r w:rsidRPr="00E013FB" w:rsidR="00FD0495">
        <w:rPr>
          <w:rFonts w:ascii="Book Antiqua" w:hAnsi="Book Antiqua" w:cstheme="minorHAnsi"/>
          <w:szCs w:val="26"/>
        </w:rPr>
        <w:t>.</w:t>
      </w:r>
    </w:p>
    <w:p w:rsidRPr="00AF2C94" w:rsidR="009A0F0D" w:rsidP="00AF2C94" w:rsidRDefault="006D0BFD" w14:paraId="3EF61EB9" w14:textId="01F354FF">
      <w:pPr>
        <w:pStyle w:val="Standard"/>
      </w:pPr>
      <w:r w:rsidRPr="00E013FB">
        <w:t xml:space="preserve">The WSAB approved </w:t>
      </w:r>
      <w:r w:rsidRPr="00E013FB" w:rsidR="004311FF">
        <w:t>its</w:t>
      </w:r>
      <w:r w:rsidRPr="00E013FB" w:rsidR="0073519E">
        <w:t xml:space="preserve"> </w:t>
      </w:r>
      <w:r w:rsidRPr="00E013FB">
        <w:t>recommendations on the 2021 WMP guidelines, performance metrics and safety culture on June 24, 2020</w:t>
      </w:r>
      <w:r w:rsidRPr="00E013FB" w:rsidR="00FD0495">
        <w:t>,</w:t>
      </w:r>
      <w:r w:rsidRPr="00E013FB">
        <w:t xml:space="preserve"> and submitted a final report to the WSD</w:t>
      </w:r>
      <w:r w:rsidRPr="00E013FB" w:rsidR="004311FF">
        <w:t xml:space="preserve"> on </w:t>
      </w:r>
      <w:r w:rsidRPr="00E013FB" w:rsidR="00FA0CCB">
        <w:t>June 26, 2020</w:t>
      </w:r>
      <w:r w:rsidRPr="00E013FB">
        <w:t xml:space="preserve">. </w:t>
      </w:r>
      <w:r w:rsidRPr="00E013FB" w:rsidR="004311FF">
        <w:t xml:space="preserve"> </w:t>
      </w:r>
      <w:r w:rsidRPr="00E013FB" w:rsidR="00A00588">
        <w:t xml:space="preserve"> Section</w:t>
      </w:r>
      <w:r w:rsidRPr="00E013FB">
        <w:t xml:space="preserve"> 8389(c)</w:t>
      </w:r>
      <w:r w:rsidRPr="00E013FB" w:rsidR="004311FF">
        <w:t xml:space="preserve"> requires</w:t>
      </w:r>
      <w:r w:rsidRPr="00E013FB">
        <w:t xml:space="preserve"> the WSD to </w:t>
      </w:r>
      <w:r w:rsidRPr="00E013FB" w:rsidR="009A0F0D">
        <w:t>analyze</w:t>
      </w:r>
      <w:r w:rsidRPr="00E013FB">
        <w:t xml:space="preserve"> the</w:t>
      </w:r>
      <w:r w:rsidRPr="00E013FB" w:rsidR="004311FF">
        <w:t xml:space="preserve"> WSAB’s</w:t>
      </w:r>
      <w:r w:rsidRPr="00E013FB">
        <w:t xml:space="preserve"> </w:t>
      </w:r>
      <w:r w:rsidRPr="00E013FB" w:rsidR="004311FF">
        <w:t>input</w:t>
      </w:r>
      <w:r w:rsidRPr="00E013FB" w:rsidR="009A0F0D">
        <w:t xml:space="preserve"> for Commission consideration</w:t>
      </w:r>
      <w:r w:rsidRPr="00E013FB">
        <w:t xml:space="preserve">. </w:t>
      </w:r>
      <w:r w:rsidRPr="00E013FB" w:rsidR="004311FF">
        <w:t xml:space="preserve"> </w:t>
      </w:r>
    </w:p>
    <w:p w:rsidRPr="00AF2C94" w:rsidR="00433A26" w:rsidP="00AF2C94" w:rsidRDefault="001E4BCD" w14:paraId="030449F7" w14:textId="6F106006">
      <w:pPr>
        <w:pStyle w:val="Standard"/>
      </w:pPr>
      <w:r w:rsidRPr="00E013FB">
        <w:t xml:space="preserve">The </w:t>
      </w:r>
      <w:r w:rsidRPr="00E013FB" w:rsidR="009A0F0D">
        <w:t xml:space="preserve">WSD’s analysis appears in Attachment 1 to this Resolution.  In summary, the WSD </w:t>
      </w:r>
      <w:r w:rsidRPr="00E013FB" w:rsidR="0073519E">
        <w:t>fully incorporated</w:t>
      </w:r>
      <w:r w:rsidRPr="00E013FB" w:rsidR="009A0F0D">
        <w:t xml:space="preserve"> six</w:t>
      </w:r>
      <w:r w:rsidRPr="00E013FB" w:rsidR="006D0BFD">
        <w:t xml:space="preserve"> recommendations, </w:t>
      </w:r>
      <w:r w:rsidRPr="00E013FB" w:rsidR="0073519E">
        <w:t xml:space="preserve">incorporated </w:t>
      </w:r>
      <w:r w:rsidRPr="00E013FB" w:rsidR="009A0F0D">
        <w:t xml:space="preserve">nine with </w:t>
      </w:r>
      <w:r w:rsidRPr="00E013FB" w:rsidR="009A0F0D">
        <w:lastRenderedPageBreak/>
        <w:t xml:space="preserve">modification, and declined to </w:t>
      </w:r>
      <w:r w:rsidRPr="00E013FB" w:rsidR="0073519E">
        <w:t>incorporate</w:t>
      </w:r>
      <w:r w:rsidRPr="00E013FB" w:rsidR="006D0BFD">
        <w:t xml:space="preserve"> four recommendations</w:t>
      </w:r>
      <w:r w:rsidRPr="00E013FB" w:rsidR="009A0F0D">
        <w:t>. Those recommendations are as follows:</w:t>
      </w:r>
    </w:p>
    <w:p w:rsidRPr="00E013FB" w:rsidR="000667C4" w:rsidP="00546EFC" w:rsidRDefault="00433A26" w14:paraId="76796AC0" w14:textId="4D62F6EE">
      <w:pPr>
        <w:pStyle w:val="Res-Caption"/>
        <w:ind w:left="0"/>
        <w:rPr>
          <w:rFonts w:ascii="Book Antiqua" w:hAnsi="Book Antiqua" w:cstheme="minorHAnsi"/>
          <w:b/>
          <w:bCs/>
          <w:szCs w:val="26"/>
        </w:rPr>
      </w:pPr>
      <w:r w:rsidRPr="00E013FB">
        <w:rPr>
          <w:rFonts w:ascii="Book Antiqua" w:hAnsi="Book Antiqua" w:cstheme="minorHAnsi"/>
          <w:b/>
          <w:bCs/>
          <w:szCs w:val="26"/>
        </w:rPr>
        <w:t>Table 1.1</w:t>
      </w:r>
      <w:r w:rsidRPr="00E013FB" w:rsidR="000667C4">
        <w:rPr>
          <w:rFonts w:ascii="Book Antiqua" w:hAnsi="Book Antiqua" w:cstheme="minorHAnsi"/>
          <w:b/>
          <w:bCs/>
          <w:szCs w:val="26"/>
        </w:rPr>
        <w:t xml:space="preserve"> Summary of WSAB </w:t>
      </w:r>
      <w:r w:rsidRPr="00E013FB" w:rsidR="0017695B">
        <w:rPr>
          <w:rFonts w:ascii="Book Antiqua" w:hAnsi="Book Antiqua" w:cstheme="minorHAnsi"/>
          <w:b/>
          <w:bCs/>
          <w:szCs w:val="26"/>
        </w:rPr>
        <w:t xml:space="preserve">WMP </w:t>
      </w:r>
      <w:r w:rsidRPr="00E013FB" w:rsidR="000667C4">
        <w:rPr>
          <w:rFonts w:ascii="Book Antiqua" w:hAnsi="Book Antiqua" w:cstheme="minorHAnsi"/>
          <w:b/>
          <w:bCs/>
          <w:szCs w:val="26"/>
        </w:rPr>
        <w:t>Recommendation</w:t>
      </w:r>
      <w:r w:rsidRPr="00E013FB" w:rsidR="0017695B">
        <w:rPr>
          <w:rFonts w:ascii="Book Antiqua" w:hAnsi="Book Antiqua" w:cstheme="minorHAnsi"/>
          <w:b/>
          <w:bCs/>
          <w:szCs w:val="26"/>
        </w:rPr>
        <w:t>s</w:t>
      </w:r>
    </w:p>
    <w:p w:rsidRPr="00E013FB" w:rsidR="000667C4" w:rsidP="00546EFC" w:rsidRDefault="000667C4" w14:paraId="670D7D2E" w14:textId="0B884D8B">
      <w:pPr>
        <w:pStyle w:val="Res-Caption"/>
        <w:ind w:left="0"/>
        <w:rPr>
          <w:rFonts w:ascii="Book Antiqua" w:hAnsi="Book Antiqua" w:cstheme="minorHAnsi"/>
          <w:szCs w:val="26"/>
        </w:rPr>
      </w:pPr>
    </w:p>
    <w:tbl>
      <w:tblPr>
        <w:tblStyle w:val="TableGrid"/>
        <w:tblW w:w="0" w:type="auto"/>
        <w:tblLook w:val="04A0" w:firstRow="1" w:lastRow="0" w:firstColumn="1" w:lastColumn="0" w:noHBand="0" w:noVBand="1"/>
      </w:tblPr>
      <w:tblGrid>
        <w:gridCol w:w="2785"/>
        <w:gridCol w:w="3240"/>
        <w:gridCol w:w="3325"/>
      </w:tblGrid>
      <w:tr w:rsidRPr="00E013FB" w:rsidR="000667C4" w:rsidTr="00C139B1" w14:paraId="7AB779D0" w14:textId="77777777">
        <w:tc>
          <w:tcPr>
            <w:tcW w:w="2785" w:type="dxa"/>
            <w:shd w:val="clear" w:color="auto" w:fill="BFBFBF" w:themeFill="background1" w:themeFillShade="BF"/>
          </w:tcPr>
          <w:p w:rsidRPr="00E013FB" w:rsidR="000667C4" w:rsidP="00546EFC" w:rsidRDefault="000667C4" w14:paraId="4A92D9CC" w14:textId="32A6A617">
            <w:pPr>
              <w:pStyle w:val="Res-Caption"/>
              <w:ind w:left="0"/>
              <w:rPr>
                <w:rFonts w:ascii="Book Antiqua" w:hAnsi="Book Antiqua" w:cstheme="minorHAnsi"/>
                <w:b/>
                <w:bCs/>
                <w:szCs w:val="26"/>
              </w:rPr>
            </w:pPr>
            <w:r w:rsidRPr="00E013FB">
              <w:rPr>
                <w:rFonts w:ascii="Book Antiqua" w:hAnsi="Book Antiqua" w:cstheme="minorHAnsi"/>
                <w:b/>
                <w:bCs/>
                <w:szCs w:val="26"/>
              </w:rPr>
              <w:t>Fully Incorporate</w:t>
            </w:r>
          </w:p>
        </w:tc>
        <w:tc>
          <w:tcPr>
            <w:tcW w:w="3240" w:type="dxa"/>
            <w:shd w:val="clear" w:color="auto" w:fill="BFBFBF" w:themeFill="background1" w:themeFillShade="BF"/>
          </w:tcPr>
          <w:p w:rsidRPr="00E013FB" w:rsidR="000667C4" w:rsidP="00546EFC" w:rsidRDefault="000667C4" w14:paraId="7EBA3C26" w14:textId="6812860F">
            <w:pPr>
              <w:pStyle w:val="Res-Caption"/>
              <w:ind w:left="0"/>
              <w:rPr>
                <w:rFonts w:ascii="Book Antiqua" w:hAnsi="Book Antiqua" w:cstheme="minorHAnsi"/>
                <w:b/>
                <w:bCs/>
                <w:szCs w:val="26"/>
              </w:rPr>
            </w:pPr>
            <w:r w:rsidRPr="00E013FB">
              <w:rPr>
                <w:rFonts w:ascii="Book Antiqua" w:hAnsi="Book Antiqua" w:cstheme="minorHAnsi"/>
                <w:b/>
                <w:bCs/>
                <w:szCs w:val="26"/>
              </w:rPr>
              <w:t>Incorporate with Adjustments</w:t>
            </w:r>
          </w:p>
        </w:tc>
        <w:tc>
          <w:tcPr>
            <w:tcW w:w="3325" w:type="dxa"/>
            <w:shd w:val="clear" w:color="auto" w:fill="BFBFBF" w:themeFill="background1" w:themeFillShade="BF"/>
          </w:tcPr>
          <w:p w:rsidRPr="00E013FB" w:rsidR="000667C4" w:rsidP="00546EFC" w:rsidRDefault="000667C4" w14:paraId="49A2843A" w14:textId="66EA07CB">
            <w:pPr>
              <w:pStyle w:val="Res-Caption"/>
              <w:ind w:left="0"/>
              <w:rPr>
                <w:rFonts w:ascii="Book Antiqua" w:hAnsi="Book Antiqua" w:cstheme="minorHAnsi"/>
                <w:b/>
                <w:bCs/>
                <w:szCs w:val="26"/>
              </w:rPr>
            </w:pPr>
            <w:r w:rsidRPr="00E013FB">
              <w:rPr>
                <w:rFonts w:ascii="Book Antiqua" w:hAnsi="Book Antiqua" w:cstheme="minorHAnsi"/>
                <w:b/>
                <w:bCs/>
                <w:szCs w:val="26"/>
              </w:rPr>
              <w:t>Do Not Incorporate at this time</w:t>
            </w:r>
          </w:p>
        </w:tc>
      </w:tr>
      <w:tr w:rsidRPr="00E013FB" w:rsidR="000667C4" w:rsidTr="00DC243A" w14:paraId="67A9287B" w14:textId="77777777">
        <w:tc>
          <w:tcPr>
            <w:tcW w:w="2785" w:type="dxa"/>
          </w:tcPr>
          <w:p w:rsidRPr="00E013FB" w:rsidR="000667C4" w:rsidP="00DC243A" w:rsidRDefault="000667C4" w14:paraId="6BC90B1C" w14:textId="61AF4929">
            <w:pPr>
              <w:tabs>
                <w:tab w:val="left" w:pos="2520"/>
              </w:tabs>
              <w:rPr>
                <w:rFonts w:cstheme="minorHAnsi"/>
                <w:color w:val="000000" w:themeColor="text1"/>
                <w:szCs w:val="26"/>
              </w:rPr>
            </w:pPr>
            <w:r w:rsidRPr="00E013FB">
              <w:rPr>
                <w:rFonts w:cstheme="minorHAnsi"/>
                <w:color w:val="000000" w:themeColor="text1"/>
                <w:szCs w:val="26"/>
              </w:rPr>
              <w:t>1.2 State and Federal Rules and Requirements Should Be Included and Explained in the Narrative of WMPs</w:t>
            </w:r>
          </w:p>
        </w:tc>
        <w:tc>
          <w:tcPr>
            <w:tcW w:w="3240" w:type="dxa"/>
          </w:tcPr>
          <w:p w:rsidRPr="00E013FB" w:rsidR="00964555" w:rsidP="00DC243A" w:rsidRDefault="00964555" w14:paraId="58BFA33C" w14:textId="77777777">
            <w:pPr>
              <w:tabs>
                <w:tab w:val="left" w:pos="2520"/>
              </w:tabs>
              <w:rPr>
                <w:rFonts w:cstheme="minorHAnsi"/>
                <w:color w:val="000000" w:themeColor="text1"/>
                <w:szCs w:val="26"/>
              </w:rPr>
            </w:pPr>
            <w:r w:rsidRPr="00E013FB">
              <w:rPr>
                <w:rFonts w:cstheme="minorHAnsi"/>
                <w:color w:val="000000" w:themeColor="text1"/>
                <w:szCs w:val="26"/>
              </w:rPr>
              <w:t>1.1 Topical Organization by WMP Program with a Focus on Lessons Learned</w:t>
            </w:r>
          </w:p>
          <w:p w:rsidRPr="00E013FB" w:rsidR="000667C4" w:rsidP="00546EFC" w:rsidRDefault="000667C4" w14:paraId="1ABC1667" w14:textId="77777777">
            <w:pPr>
              <w:pStyle w:val="Res-Caption"/>
              <w:ind w:left="0"/>
              <w:rPr>
                <w:rFonts w:ascii="Book Antiqua" w:hAnsi="Book Antiqua" w:cstheme="minorHAnsi"/>
                <w:szCs w:val="26"/>
              </w:rPr>
            </w:pPr>
          </w:p>
        </w:tc>
        <w:tc>
          <w:tcPr>
            <w:tcW w:w="3325" w:type="dxa"/>
          </w:tcPr>
          <w:p w:rsidRPr="00E013FB" w:rsidR="00964555" w:rsidP="00DC243A" w:rsidRDefault="00964555" w14:paraId="454AFF3D" w14:textId="77777777">
            <w:pPr>
              <w:tabs>
                <w:tab w:val="left" w:pos="2520"/>
              </w:tabs>
              <w:rPr>
                <w:rFonts w:cstheme="minorHAnsi"/>
                <w:color w:val="000000" w:themeColor="text1"/>
                <w:szCs w:val="26"/>
              </w:rPr>
            </w:pPr>
            <w:r w:rsidRPr="00E013FB">
              <w:rPr>
                <w:rFonts w:cstheme="minorHAnsi"/>
                <w:color w:val="000000" w:themeColor="text1"/>
                <w:szCs w:val="26"/>
              </w:rPr>
              <w:t>3.6 Resolving California Utilities' Resource Constraints</w:t>
            </w:r>
          </w:p>
          <w:p w:rsidRPr="00E013FB" w:rsidR="000667C4" w:rsidP="00546EFC" w:rsidRDefault="000667C4" w14:paraId="3CB4302E" w14:textId="77777777">
            <w:pPr>
              <w:pStyle w:val="Res-Caption"/>
              <w:ind w:left="0"/>
              <w:rPr>
                <w:rFonts w:ascii="Book Antiqua" w:hAnsi="Book Antiqua" w:cstheme="minorHAnsi"/>
                <w:szCs w:val="26"/>
              </w:rPr>
            </w:pPr>
          </w:p>
        </w:tc>
      </w:tr>
      <w:tr w:rsidRPr="00E013FB" w:rsidR="000667C4" w:rsidTr="00DC243A" w14:paraId="0A69E5ED" w14:textId="77777777">
        <w:tc>
          <w:tcPr>
            <w:tcW w:w="2785" w:type="dxa"/>
          </w:tcPr>
          <w:p w:rsidRPr="00E013FB" w:rsidR="000667C4" w:rsidP="00DC243A" w:rsidRDefault="000667C4" w14:paraId="5F82D35E" w14:textId="28BB915F">
            <w:pPr>
              <w:tabs>
                <w:tab w:val="left" w:pos="2520"/>
              </w:tabs>
              <w:rPr>
                <w:rFonts w:cstheme="minorHAnsi"/>
                <w:color w:val="000000" w:themeColor="text1"/>
                <w:szCs w:val="26"/>
              </w:rPr>
            </w:pPr>
            <w:r w:rsidRPr="00E013FB">
              <w:rPr>
                <w:rFonts w:cstheme="minorHAnsi"/>
                <w:color w:val="000000" w:themeColor="text1"/>
                <w:szCs w:val="26"/>
              </w:rPr>
              <w:t>1.4 Strike a Balance Between Data Submission Requirements, Quarterly Reporting and Program Implementation</w:t>
            </w:r>
          </w:p>
        </w:tc>
        <w:tc>
          <w:tcPr>
            <w:tcW w:w="3240" w:type="dxa"/>
          </w:tcPr>
          <w:p w:rsidRPr="00E013FB" w:rsidR="00964555" w:rsidP="00DC243A" w:rsidRDefault="00964555" w14:paraId="780B6687" w14:textId="77777777">
            <w:pPr>
              <w:tabs>
                <w:tab w:val="left" w:pos="2520"/>
              </w:tabs>
              <w:rPr>
                <w:rFonts w:cstheme="minorHAnsi"/>
                <w:color w:val="000000" w:themeColor="text1"/>
                <w:szCs w:val="26"/>
              </w:rPr>
            </w:pPr>
            <w:r w:rsidRPr="00E013FB">
              <w:rPr>
                <w:rFonts w:cstheme="minorHAnsi"/>
                <w:color w:val="000000" w:themeColor="text1"/>
                <w:szCs w:val="26"/>
              </w:rPr>
              <w:t>1.3 Submission Schedules that Set Up All Parties for Success</w:t>
            </w:r>
          </w:p>
          <w:p w:rsidRPr="00E013FB" w:rsidR="000667C4" w:rsidP="00546EFC" w:rsidRDefault="000667C4" w14:paraId="38F3B170" w14:textId="77777777">
            <w:pPr>
              <w:pStyle w:val="Res-Caption"/>
              <w:ind w:left="0"/>
              <w:rPr>
                <w:rFonts w:ascii="Book Antiqua" w:hAnsi="Book Antiqua" w:cstheme="minorHAnsi"/>
                <w:szCs w:val="26"/>
              </w:rPr>
            </w:pPr>
          </w:p>
        </w:tc>
        <w:tc>
          <w:tcPr>
            <w:tcW w:w="3325" w:type="dxa"/>
          </w:tcPr>
          <w:p w:rsidRPr="00E013FB" w:rsidR="00964555" w:rsidP="00DC243A" w:rsidRDefault="00964555" w14:paraId="3ED1B86E" w14:textId="77777777">
            <w:pPr>
              <w:tabs>
                <w:tab w:val="left" w:pos="2520"/>
              </w:tabs>
              <w:rPr>
                <w:rFonts w:cstheme="minorHAnsi"/>
                <w:color w:val="000000" w:themeColor="text1"/>
                <w:szCs w:val="26"/>
              </w:rPr>
            </w:pPr>
            <w:r w:rsidRPr="00E013FB">
              <w:rPr>
                <w:rFonts w:cstheme="minorHAnsi"/>
                <w:color w:val="000000" w:themeColor="text1"/>
                <w:szCs w:val="26"/>
              </w:rPr>
              <w:t>4.1 Develop an Electric Utility Resiliency and Risk Reduction Threshold (SHEUR)</w:t>
            </w:r>
          </w:p>
          <w:p w:rsidRPr="00E013FB" w:rsidR="000667C4" w:rsidP="00546EFC" w:rsidRDefault="000667C4" w14:paraId="77EAEBED" w14:textId="77777777">
            <w:pPr>
              <w:pStyle w:val="Res-Caption"/>
              <w:ind w:left="0"/>
              <w:rPr>
                <w:rFonts w:ascii="Book Antiqua" w:hAnsi="Book Antiqua" w:cstheme="minorHAnsi"/>
                <w:szCs w:val="26"/>
              </w:rPr>
            </w:pPr>
          </w:p>
        </w:tc>
      </w:tr>
      <w:tr w:rsidRPr="00E013FB" w:rsidR="000667C4" w:rsidTr="00DC243A" w14:paraId="71F0EDE1" w14:textId="77777777">
        <w:tc>
          <w:tcPr>
            <w:tcW w:w="2785" w:type="dxa"/>
          </w:tcPr>
          <w:p w:rsidR="001215FE" w:rsidP="00DC243A" w:rsidRDefault="001215FE" w14:paraId="2B187549" w14:textId="6272A9B4">
            <w:pPr>
              <w:tabs>
                <w:tab w:val="left" w:pos="2520"/>
              </w:tabs>
              <w:rPr>
                <w:rFonts w:cstheme="minorHAnsi"/>
                <w:color w:val="000000" w:themeColor="text1"/>
                <w:szCs w:val="26"/>
              </w:rPr>
            </w:pPr>
          </w:p>
          <w:p w:rsidRPr="00E013FB" w:rsidR="000667C4" w:rsidP="001215FE" w:rsidRDefault="001215FE" w14:paraId="1BA66E45" w14:textId="64582FEF">
            <w:pPr>
              <w:tabs>
                <w:tab w:val="left" w:pos="2520"/>
              </w:tabs>
              <w:rPr>
                <w:rFonts w:cstheme="minorHAnsi"/>
                <w:szCs w:val="26"/>
              </w:rPr>
            </w:pPr>
            <w:r w:rsidRPr="00E013FB">
              <w:rPr>
                <w:rFonts w:cstheme="minorHAnsi"/>
                <w:color w:val="000000" w:themeColor="text1"/>
                <w:szCs w:val="26"/>
              </w:rPr>
              <w:t>2.4 Standardized Data to Allow Cross-Utility Comparisons</w:t>
            </w:r>
          </w:p>
        </w:tc>
        <w:tc>
          <w:tcPr>
            <w:tcW w:w="3240" w:type="dxa"/>
          </w:tcPr>
          <w:p w:rsidRPr="00E013FB" w:rsidR="001215FE" w:rsidP="00DC243A" w:rsidRDefault="001215FE" w14:paraId="1D3E7B45" w14:textId="3C9735A0">
            <w:pPr>
              <w:tabs>
                <w:tab w:val="left" w:pos="2520"/>
              </w:tabs>
              <w:rPr>
                <w:rFonts w:cstheme="minorHAnsi"/>
                <w:color w:val="000000" w:themeColor="text1"/>
                <w:szCs w:val="26"/>
              </w:rPr>
            </w:pPr>
            <w:r>
              <w:rPr>
                <w:rFonts w:cstheme="minorHAnsi"/>
                <w:color w:val="000000" w:themeColor="text1"/>
                <w:szCs w:val="26"/>
              </w:rPr>
              <w:t>2.1 Risk Spend Efficiency (RSE) Analysis Required for Each Mitigation Measure</w:t>
            </w:r>
          </w:p>
          <w:p w:rsidRPr="00E013FB" w:rsidR="000667C4" w:rsidP="00C6721E" w:rsidRDefault="000667C4" w14:paraId="5AE1173E" w14:textId="77777777">
            <w:pPr>
              <w:tabs>
                <w:tab w:val="left" w:pos="2520"/>
              </w:tabs>
              <w:rPr>
                <w:rFonts w:cstheme="minorHAnsi"/>
                <w:szCs w:val="26"/>
              </w:rPr>
            </w:pPr>
          </w:p>
        </w:tc>
        <w:tc>
          <w:tcPr>
            <w:tcW w:w="3325" w:type="dxa"/>
          </w:tcPr>
          <w:p w:rsidRPr="00E013FB" w:rsidR="00964555" w:rsidP="00DC243A" w:rsidRDefault="00964555" w14:paraId="3C24437A" w14:textId="77777777">
            <w:pPr>
              <w:tabs>
                <w:tab w:val="left" w:pos="2520"/>
              </w:tabs>
              <w:rPr>
                <w:rFonts w:cstheme="minorHAnsi"/>
                <w:color w:val="000000" w:themeColor="text1"/>
                <w:szCs w:val="26"/>
              </w:rPr>
            </w:pPr>
            <w:r w:rsidRPr="00E013FB">
              <w:rPr>
                <w:rFonts w:cstheme="minorHAnsi"/>
                <w:color w:val="000000" w:themeColor="text1"/>
                <w:szCs w:val="26"/>
              </w:rPr>
              <w:t>6.1 The Wildfire Safety Division Should Remain at the CPUC</w:t>
            </w:r>
          </w:p>
          <w:p w:rsidRPr="00E013FB" w:rsidR="000667C4" w:rsidP="00546EFC" w:rsidRDefault="000667C4" w14:paraId="08459EFC" w14:textId="77777777">
            <w:pPr>
              <w:pStyle w:val="Res-Caption"/>
              <w:ind w:left="0"/>
              <w:rPr>
                <w:rFonts w:ascii="Book Antiqua" w:hAnsi="Book Antiqua" w:cstheme="minorHAnsi"/>
                <w:szCs w:val="26"/>
              </w:rPr>
            </w:pPr>
          </w:p>
        </w:tc>
      </w:tr>
      <w:tr w:rsidRPr="00E013FB" w:rsidR="000667C4" w:rsidTr="00DC243A" w14:paraId="0449DE84" w14:textId="77777777">
        <w:tc>
          <w:tcPr>
            <w:tcW w:w="2785" w:type="dxa"/>
          </w:tcPr>
          <w:p w:rsidRPr="00E013FB" w:rsidR="001215FE" w:rsidP="00546EFC" w:rsidRDefault="001215FE" w14:paraId="42E2C3C1" w14:textId="5C4CEFFC">
            <w:pPr>
              <w:pStyle w:val="Res-Caption"/>
              <w:ind w:left="0"/>
              <w:rPr>
                <w:rFonts w:ascii="Book Antiqua" w:hAnsi="Book Antiqua" w:cstheme="minorHAnsi"/>
                <w:szCs w:val="26"/>
              </w:rPr>
            </w:pPr>
            <w:r w:rsidRPr="00E013FB">
              <w:rPr>
                <w:rFonts w:cstheme="minorHAnsi"/>
                <w:color w:val="000000" w:themeColor="text1"/>
                <w:szCs w:val="26"/>
              </w:rPr>
              <w:t>3.3 Reporting Expert Qualifications and Scientific Justification for Decision-Making</w:t>
            </w:r>
          </w:p>
        </w:tc>
        <w:tc>
          <w:tcPr>
            <w:tcW w:w="3240" w:type="dxa"/>
          </w:tcPr>
          <w:p w:rsidRPr="00E013FB" w:rsidR="001215FE" w:rsidP="001215FE" w:rsidRDefault="001215FE" w14:paraId="33F24CEA" w14:textId="77777777">
            <w:pPr>
              <w:tabs>
                <w:tab w:val="left" w:pos="2520"/>
              </w:tabs>
              <w:rPr>
                <w:rFonts w:cstheme="minorHAnsi"/>
                <w:color w:val="000000" w:themeColor="text1"/>
                <w:szCs w:val="26"/>
              </w:rPr>
            </w:pPr>
            <w:r w:rsidRPr="00E013FB">
              <w:rPr>
                <w:rFonts w:cstheme="minorHAnsi"/>
                <w:color w:val="000000" w:themeColor="text1"/>
                <w:szCs w:val="26"/>
              </w:rPr>
              <w:t>2.2 Train and Retain Qualified Electrical Workers</w:t>
            </w:r>
          </w:p>
          <w:p w:rsidRPr="00E013FB" w:rsidR="000667C4" w:rsidP="00DC243A" w:rsidRDefault="000667C4" w14:paraId="107C9610" w14:textId="717D6D98">
            <w:pPr>
              <w:tabs>
                <w:tab w:val="left" w:pos="2520"/>
              </w:tabs>
              <w:rPr>
                <w:rFonts w:cstheme="minorHAnsi"/>
                <w:color w:val="000000" w:themeColor="text1"/>
                <w:szCs w:val="26"/>
              </w:rPr>
            </w:pPr>
          </w:p>
        </w:tc>
        <w:tc>
          <w:tcPr>
            <w:tcW w:w="3325" w:type="dxa"/>
          </w:tcPr>
          <w:p w:rsidRPr="00E013FB" w:rsidR="000667C4" w:rsidP="00546EFC" w:rsidRDefault="00964555" w14:paraId="16959A37" w14:textId="0E77F5EA">
            <w:pPr>
              <w:pStyle w:val="Res-Caption"/>
              <w:ind w:left="0"/>
              <w:rPr>
                <w:rFonts w:ascii="Book Antiqua" w:hAnsi="Book Antiqua" w:cstheme="minorHAnsi"/>
                <w:szCs w:val="26"/>
              </w:rPr>
            </w:pPr>
            <w:r w:rsidRPr="00E013FB">
              <w:rPr>
                <w:rFonts w:ascii="Book Antiqua" w:hAnsi="Book Antiqua" w:cstheme="minorHAnsi"/>
                <w:color w:val="000000" w:themeColor="text1"/>
                <w:szCs w:val="26"/>
              </w:rPr>
              <w:t>6.2 Future Issues for Consideration</w:t>
            </w:r>
          </w:p>
        </w:tc>
      </w:tr>
      <w:tr w:rsidRPr="00E013FB" w:rsidR="000667C4" w:rsidTr="00DC243A" w14:paraId="46D38DDD" w14:textId="77777777">
        <w:tc>
          <w:tcPr>
            <w:tcW w:w="2785" w:type="dxa"/>
          </w:tcPr>
          <w:p w:rsidRPr="00E013FB" w:rsidR="001215FE" w:rsidP="00DC243A" w:rsidRDefault="001215FE" w14:paraId="20EA19B7" w14:textId="0FB458C7">
            <w:pPr>
              <w:tabs>
                <w:tab w:val="left" w:pos="2520"/>
              </w:tabs>
              <w:rPr>
                <w:rFonts w:cstheme="minorHAnsi"/>
                <w:color w:val="000000" w:themeColor="text1"/>
                <w:szCs w:val="26"/>
              </w:rPr>
            </w:pPr>
            <w:r w:rsidRPr="00E013FB">
              <w:rPr>
                <w:rFonts w:cstheme="minorHAnsi"/>
                <w:color w:val="000000" w:themeColor="text1"/>
                <w:szCs w:val="26"/>
              </w:rPr>
              <w:t>4.2 Community Outreach and Emergency Preparedness Performance Metrics and Data Reporting</w:t>
            </w:r>
          </w:p>
        </w:tc>
        <w:tc>
          <w:tcPr>
            <w:tcW w:w="3240" w:type="dxa"/>
          </w:tcPr>
          <w:p w:rsidRPr="00E013FB" w:rsidR="000667C4" w:rsidP="001215FE" w:rsidRDefault="001215FE" w14:paraId="4FE937F4" w14:textId="083C152D">
            <w:pPr>
              <w:tabs>
                <w:tab w:val="left" w:pos="2520"/>
              </w:tabs>
              <w:rPr>
                <w:rFonts w:cstheme="minorHAnsi"/>
                <w:szCs w:val="26"/>
              </w:rPr>
            </w:pPr>
            <w:r w:rsidRPr="00E013FB">
              <w:rPr>
                <w:rFonts w:cstheme="minorHAnsi"/>
                <w:color w:val="000000" w:themeColor="text1"/>
                <w:szCs w:val="26"/>
              </w:rPr>
              <w:t>2.3 Risk Assessment and Mapping to Determine Location of Wildfire Mitigation Measures and Update CPUC Fire-Threat Maps More Frequently</w:t>
            </w:r>
            <w:r w:rsidRPr="00E013FB" w:rsidDel="001215FE">
              <w:rPr>
                <w:rFonts w:cstheme="minorHAnsi"/>
                <w:color w:val="000000" w:themeColor="text1"/>
                <w:szCs w:val="26"/>
              </w:rPr>
              <w:t xml:space="preserve"> </w:t>
            </w:r>
          </w:p>
        </w:tc>
        <w:tc>
          <w:tcPr>
            <w:tcW w:w="3325" w:type="dxa"/>
          </w:tcPr>
          <w:p w:rsidRPr="00E013FB" w:rsidR="000667C4" w:rsidP="00546EFC" w:rsidRDefault="000667C4" w14:paraId="41146781" w14:textId="77777777">
            <w:pPr>
              <w:pStyle w:val="Res-Caption"/>
              <w:ind w:left="0"/>
              <w:rPr>
                <w:rFonts w:ascii="Book Antiqua" w:hAnsi="Book Antiqua" w:cstheme="minorHAnsi"/>
                <w:szCs w:val="26"/>
              </w:rPr>
            </w:pPr>
          </w:p>
        </w:tc>
      </w:tr>
      <w:tr w:rsidRPr="00E013FB" w:rsidR="000667C4" w:rsidTr="00DC243A" w14:paraId="6F274A59" w14:textId="77777777">
        <w:tc>
          <w:tcPr>
            <w:tcW w:w="2785" w:type="dxa"/>
          </w:tcPr>
          <w:p w:rsidRPr="00E013FB" w:rsidR="000667C4" w:rsidP="00546EFC" w:rsidRDefault="000667C4" w14:paraId="3CF6347F" w14:textId="69A6EEDA">
            <w:pPr>
              <w:pStyle w:val="Res-Caption"/>
              <w:ind w:left="0"/>
              <w:rPr>
                <w:rFonts w:ascii="Book Antiqua" w:hAnsi="Book Antiqua" w:cstheme="minorHAnsi"/>
                <w:szCs w:val="26"/>
              </w:rPr>
            </w:pPr>
          </w:p>
        </w:tc>
        <w:tc>
          <w:tcPr>
            <w:tcW w:w="3240" w:type="dxa"/>
          </w:tcPr>
          <w:p w:rsidRPr="00E013FB" w:rsidR="001215FE" w:rsidP="001215FE" w:rsidRDefault="001215FE" w14:paraId="00A085FC" w14:textId="77777777">
            <w:pPr>
              <w:tabs>
                <w:tab w:val="left" w:pos="2520"/>
              </w:tabs>
              <w:rPr>
                <w:rFonts w:cstheme="minorHAnsi"/>
                <w:color w:val="000000" w:themeColor="text1"/>
                <w:szCs w:val="26"/>
              </w:rPr>
            </w:pPr>
            <w:r w:rsidRPr="00E013FB">
              <w:rPr>
                <w:rFonts w:cstheme="minorHAnsi"/>
                <w:color w:val="000000" w:themeColor="text1"/>
                <w:szCs w:val="26"/>
              </w:rPr>
              <w:t>3.1 Scientific Review of Modeling Methods and Assumptions</w:t>
            </w:r>
          </w:p>
          <w:p w:rsidRPr="00E013FB" w:rsidR="000667C4" w:rsidP="00C6721E" w:rsidRDefault="000667C4" w14:paraId="4C48C47A" w14:textId="77777777">
            <w:pPr>
              <w:tabs>
                <w:tab w:val="left" w:pos="2520"/>
              </w:tabs>
              <w:rPr>
                <w:rFonts w:cstheme="minorHAnsi"/>
                <w:szCs w:val="26"/>
              </w:rPr>
            </w:pPr>
          </w:p>
        </w:tc>
        <w:tc>
          <w:tcPr>
            <w:tcW w:w="3325" w:type="dxa"/>
          </w:tcPr>
          <w:p w:rsidRPr="00E013FB" w:rsidR="000667C4" w:rsidP="00546EFC" w:rsidRDefault="000667C4" w14:paraId="1EA65C15" w14:textId="77777777">
            <w:pPr>
              <w:pStyle w:val="Res-Caption"/>
              <w:ind w:left="0"/>
              <w:rPr>
                <w:rFonts w:ascii="Book Antiqua" w:hAnsi="Book Antiqua" w:cstheme="minorHAnsi"/>
                <w:szCs w:val="26"/>
              </w:rPr>
            </w:pPr>
          </w:p>
        </w:tc>
      </w:tr>
      <w:tr w:rsidRPr="00E013FB" w:rsidR="000667C4" w:rsidTr="00DC243A" w14:paraId="350C7A92" w14:textId="77777777">
        <w:tc>
          <w:tcPr>
            <w:tcW w:w="2785" w:type="dxa"/>
          </w:tcPr>
          <w:p w:rsidRPr="00E013FB" w:rsidR="000667C4" w:rsidP="00546EFC" w:rsidRDefault="000667C4" w14:paraId="515C256D" w14:textId="77777777">
            <w:pPr>
              <w:pStyle w:val="Res-Caption"/>
              <w:ind w:left="0"/>
              <w:rPr>
                <w:rFonts w:ascii="Book Antiqua" w:hAnsi="Book Antiqua" w:cstheme="minorHAnsi"/>
                <w:szCs w:val="26"/>
              </w:rPr>
            </w:pPr>
          </w:p>
        </w:tc>
        <w:tc>
          <w:tcPr>
            <w:tcW w:w="3240" w:type="dxa"/>
          </w:tcPr>
          <w:p w:rsidRPr="00E013FB" w:rsidR="00846122" w:rsidP="00846122" w:rsidRDefault="00846122" w14:paraId="0101303C" w14:textId="77777777">
            <w:pPr>
              <w:tabs>
                <w:tab w:val="left" w:pos="2520"/>
              </w:tabs>
              <w:rPr>
                <w:rFonts w:cstheme="minorHAnsi"/>
                <w:color w:val="000000" w:themeColor="text1"/>
                <w:szCs w:val="26"/>
              </w:rPr>
            </w:pPr>
            <w:r w:rsidRPr="00E013FB">
              <w:rPr>
                <w:rFonts w:cstheme="minorHAnsi"/>
                <w:color w:val="000000" w:themeColor="text1"/>
                <w:szCs w:val="26"/>
              </w:rPr>
              <w:t>3.2 Development of a Data Access Portal for Interconnected Data Repositories (interim step)</w:t>
            </w:r>
            <w:r w:rsidRPr="00E013FB" w:rsidDel="001E3FD1">
              <w:rPr>
                <w:rStyle w:val="FootnoteReference"/>
                <w:rFonts w:cstheme="minorHAnsi"/>
                <w:color w:val="000000" w:themeColor="text1"/>
                <w:szCs w:val="26"/>
              </w:rPr>
              <w:t xml:space="preserve"> </w:t>
            </w:r>
          </w:p>
          <w:p w:rsidRPr="00E013FB" w:rsidR="000667C4" w:rsidP="00DC243A" w:rsidRDefault="000667C4" w14:paraId="5714B26B" w14:textId="26077BCF">
            <w:pPr>
              <w:tabs>
                <w:tab w:val="left" w:pos="2520"/>
              </w:tabs>
              <w:rPr>
                <w:rFonts w:cstheme="minorHAnsi"/>
                <w:color w:val="000000" w:themeColor="text1"/>
                <w:szCs w:val="26"/>
              </w:rPr>
            </w:pPr>
          </w:p>
        </w:tc>
        <w:tc>
          <w:tcPr>
            <w:tcW w:w="3325" w:type="dxa"/>
          </w:tcPr>
          <w:p w:rsidRPr="00E013FB" w:rsidR="000667C4" w:rsidP="00546EFC" w:rsidRDefault="000667C4" w14:paraId="500D9B52" w14:textId="77777777">
            <w:pPr>
              <w:pStyle w:val="Res-Caption"/>
              <w:ind w:left="0"/>
              <w:rPr>
                <w:rFonts w:ascii="Book Antiqua" w:hAnsi="Book Antiqua" w:cstheme="minorHAnsi"/>
                <w:szCs w:val="26"/>
              </w:rPr>
            </w:pPr>
          </w:p>
        </w:tc>
      </w:tr>
      <w:tr w:rsidRPr="00E013FB" w:rsidR="000667C4" w:rsidTr="00DC243A" w14:paraId="00E8EB92" w14:textId="77777777">
        <w:tc>
          <w:tcPr>
            <w:tcW w:w="2785" w:type="dxa"/>
          </w:tcPr>
          <w:p w:rsidRPr="00E013FB" w:rsidR="000667C4" w:rsidP="00546EFC" w:rsidRDefault="000667C4" w14:paraId="5DD1C866" w14:textId="77777777">
            <w:pPr>
              <w:pStyle w:val="Res-Caption"/>
              <w:ind w:left="0"/>
              <w:rPr>
                <w:rFonts w:ascii="Book Antiqua" w:hAnsi="Book Antiqua" w:cstheme="minorHAnsi"/>
                <w:szCs w:val="26"/>
              </w:rPr>
            </w:pPr>
          </w:p>
        </w:tc>
        <w:tc>
          <w:tcPr>
            <w:tcW w:w="3240" w:type="dxa"/>
          </w:tcPr>
          <w:p w:rsidRPr="00E013FB" w:rsidR="000667C4" w:rsidP="00DC243A" w:rsidRDefault="00846122" w14:paraId="5401EBDC" w14:textId="445A733F">
            <w:pPr>
              <w:tabs>
                <w:tab w:val="left" w:pos="2520"/>
              </w:tabs>
              <w:rPr>
                <w:rFonts w:cstheme="minorHAnsi"/>
                <w:color w:val="000000" w:themeColor="text1"/>
                <w:szCs w:val="26"/>
              </w:rPr>
            </w:pPr>
            <w:r w:rsidRPr="00E013FB">
              <w:rPr>
                <w:rFonts w:cstheme="minorHAnsi"/>
                <w:color w:val="000000" w:themeColor="text1"/>
                <w:szCs w:val="26"/>
              </w:rPr>
              <w:t>3.4 Robust Training Programs and Workforce Equity</w:t>
            </w:r>
          </w:p>
        </w:tc>
        <w:tc>
          <w:tcPr>
            <w:tcW w:w="3325" w:type="dxa"/>
          </w:tcPr>
          <w:p w:rsidRPr="00E013FB" w:rsidR="000667C4" w:rsidP="00546EFC" w:rsidRDefault="000667C4" w14:paraId="68C24BF5" w14:textId="77777777">
            <w:pPr>
              <w:pStyle w:val="Res-Caption"/>
              <w:ind w:left="0"/>
              <w:rPr>
                <w:rFonts w:ascii="Book Antiqua" w:hAnsi="Book Antiqua" w:cstheme="minorHAnsi"/>
                <w:szCs w:val="26"/>
              </w:rPr>
            </w:pPr>
          </w:p>
        </w:tc>
      </w:tr>
      <w:tr w:rsidRPr="00E013FB" w:rsidR="00C479DD" w:rsidTr="00DC243A" w14:paraId="32112F25" w14:textId="77777777">
        <w:tc>
          <w:tcPr>
            <w:tcW w:w="2785" w:type="dxa"/>
          </w:tcPr>
          <w:p w:rsidRPr="00E013FB" w:rsidR="00C479DD" w:rsidP="00546EFC" w:rsidRDefault="00C479DD" w14:paraId="4E71186D" w14:textId="77777777">
            <w:pPr>
              <w:pStyle w:val="Res-Caption"/>
              <w:ind w:left="0"/>
              <w:rPr>
                <w:rFonts w:ascii="Book Antiqua" w:hAnsi="Book Antiqua" w:cstheme="minorHAnsi"/>
                <w:szCs w:val="26"/>
              </w:rPr>
            </w:pPr>
          </w:p>
        </w:tc>
        <w:tc>
          <w:tcPr>
            <w:tcW w:w="3240" w:type="dxa"/>
          </w:tcPr>
          <w:p w:rsidRPr="00E013FB" w:rsidR="00C479DD" w:rsidP="00DC243A" w:rsidRDefault="00846122" w14:paraId="63C2EC01" w14:textId="4AF18A53">
            <w:pPr>
              <w:tabs>
                <w:tab w:val="left" w:pos="2520"/>
              </w:tabs>
              <w:rPr>
                <w:rFonts w:cstheme="minorHAnsi"/>
                <w:color w:val="000000" w:themeColor="text1"/>
                <w:szCs w:val="26"/>
              </w:rPr>
            </w:pPr>
            <w:r w:rsidRPr="00E013FB">
              <w:rPr>
                <w:rFonts w:cstheme="minorHAnsi"/>
                <w:color w:val="000000" w:themeColor="text1"/>
                <w:szCs w:val="26"/>
              </w:rPr>
              <w:t>3.5 Aligning Vegetation Management Practices with Best Available Science</w:t>
            </w:r>
          </w:p>
        </w:tc>
        <w:tc>
          <w:tcPr>
            <w:tcW w:w="3325" w:type="dxa"/>
          </w:tcPr>
          <w:p w:rsidRPr="00E013FB" w:rsidR="00C479DD" w:rsidP="00546EFC" w:rsidRDefault="00C479DD" w14:paraId="47E4DD78" w14:textId="77777777">
            <w:pPr>
              <w:pStyle w:val="Res-Caption"/>
              <w:ind w:left="0"/>
              <w:rPr>
                <w:rFonts w:ascii="Book Antiqua" w:hAnsi="Book Antiqua" w:cstheme="minorHAnsi"/>
                <w:szCs w:val="26"/>
              </w:rPr>
            </w:pPr>
          </w:p>
        </w:tc>
      </w:tr>
      <w:tr w:rsidRPr="00E013FB" w:rsidR="00846122" w:rsidTr="001215FE" w14:paraId="4579CA06" w14:textId="77777777">
        <w:trPr>
          <w:trHeight w:val="1358"/>
        </w:trPr>
        <w:tc>
          <w:tcPr>
            <w:tcW w:w="2785" w:type="dxa"/>
            <w:shd w:val="clear" w:color="auto" w:fill="FFFFFF" w:themeFill="background1"/>
          </w:tcPr>
          <w:p w:rsidRPr="00E013FB" w:rsidR="00846122" w:rsidP="00546EFC" w:rsidRDefault="00846122" w14:paraId="27F39982" w14:textId="77777777">
            <w:pPr>
              <w:pStyle w:val="Res-Caption"/>
              <w:ind w:left="0"/>
              <w:rPr>
                <w:rFonts w:ascii="Book Antiqua" w:hAnsi="Book Antiqua" w:cstheme="minorHAnsi"/>
                <w:szCs w:val="26"/>
              </w:rPr>
            </w:pPr>
          </w:p>
        </w:tc>
        <w:tc>
          <w:tcPr>
            <w:tcW w:w="3240" w:type="dxa"/>
            <w:shd w:val="clear" w:color="auto" w:fill="FFFFFF" w:themeFill="background1"/>
          </w:tcPr>
          <w:p w:rsidRPr="00E013FB" w:rsidR="00846122" w:rsidP="00DC243A" w:rsidRDefault="00846122" w14:paraId="4754D396" w14:textId="5594D3C7">
            <w:pPr>
              <w:tabs>
                <w:tab w:val="left" w:pos="2520"/>
              </w:tabs>
              <w:rPr>
                <w:rFonts w:cstheme="minorHAnsi"/>
                <w:color w:val="000000" w:themeColor="text1"/>
                <w:szCs w:val="26"/>
              </w:rPr>
            </w:pPr>
            <w:r w:rsidRPr="00E013FB">
              <w:rPr>
                <w:rFonts w:cstheme="minorHAnsi"/>
                <w:color w:val="000000" w:themeColor="text1"/>
                <w:szCs w:val="26"/>
              </w:rPr>
              <w:t>3.7 Wildfire Mitigation Program Cost Review and Costs Recovery (interim step)</w:t>
            </w:r>
            <w:r w:rsidRPr="00E013FB">
              <w:rPr>
                <w:rStyle w:val="FootnoteReference"/>
                <w:rFonts w:cstheme="minorHAnsi"/>
                <w:color w:val="000000" w:themeColor="text1"/>
                <w:szCs w:val="26"/>
              </w:rPr>
              <w:footnoteReference w:id="6"/>
            </w:r>
          </w:p>
        </w:tc>
        <w:tc>
          <w:tcPr>
            <w:tcW w:w="3325" w:type="dxa"/>
            <w:shd w:val="clear" w:color="auto" w:fill="FFFFFF" w:themeFill="background1"/>
          </w:tcPr>
          <w:p w:rsidRPr="00E013FB" w:rsidR="00846122" w:rsidP="00546EFC" w:rsidRDefault="00846122" w14:paraId="1C4606A6" w14:textId="77777777">
            <w:pPr>
              <w:pStyle w:val="Res-Caption"/>
              <w:ind w:left="0"/>
              <w:rPr>
                <w:rFonts w:ascii="Book Antiqua" w:hAnsi="Book Antiqua" w:cstheme="minorHAnsi"/>
                <w:szCs w:val="26"/>
              </w:rPr>
            </w:pPr>
          </w:p>
        </w:tc>
      </w:tr>
    </w:tbl>
    <w:p w:rsidRPr="00E013FB" w:rsidR="00433A26" w:rsidP="00546EFC" w:rsidRDefault="00433A26" w14:paraId="64E46E92" w14:textId="39AE5ADD">
      <w:pPr>
        <w:pStyle w:val="Res-Caption"/>
        <w:ind w:left="0"/>
        <w:rPr>
          <w:rFonts w:ascii="Book Antiqua" w:hAnsi="Book Antiqua" w:cstheme="minorHAnsi"/>
          <w:szCs w:val="26"/>
        </w:rPr>
      </w:pPr>
    </w:p>
    <w:p w:rsidRPr="00E013FB" w:rsidR="00433A26" w:rsidP="00546EFC" w:rsidRDefault="00433A26" w14:paraId="11A4439D" w14:textId="525B65CF">
      <w:pPr>
        <w:pStyle w:val="Res-Caption"/>
        <w:ind w:left="0"/>
        <w:rPr>
          <w:rFonts w:ascii="Book Antiqua" w:hAnsi="Book Antiqua" w:cstheme="minorHAnsi"/>
          <w:b/>
          <w:bCs/>
          <w:szCs w:val="26"/>
        </w:rPr>
      </w:pPr>
      <w:r w:rsidRPr="00E013FB">
        <w:rPr>
          <w:rFonts w:ascii="Book Antiqua" w:hAnsi="Book Antiqua" w:cstheme="minorHAnsi"/>
          <w:b/>
          <w:bCs/>
          <w:szCs w:val="26"/>
        </w:rPr>
        <w:t>Table 1.2</w:t>
      </w:r>
      <w:r w:rsidRPr="00E013FB" w:rsidR="0017695B">
        <w:rPr>
          <w:rFonts w:ascii="Book Antiqua" w:hAnsi="Book Antiqua" w:cstheme="minorHAnsi"/>
          <w:b/>
          <w:bCs/>
          <w:szCs w:val="26"/>
        </w:rPr>
        <w:t xml:space="preserve"> Safety Culture recommendations</w:t>
      </w:r>
    </w:p>
    <w:p w:rsidRPr="00E013FB" w:rsidR="0017695B" w:rsidP="00546EFC" w:rsidRDefault="0017695B" w14:paraId="175D9330" w14:textId="7BE45BDF">
      <w:pPr>
        <w:pStyle w:val="Res-Caption"/>
        <w:ind w:left="0"/>
        <w:rPr>
          <w:rFonts w:ascii="Book Antiqua" w:hAnsi="Book Antiqua" w:cstheme="minorHAnsi"/>
          <w:szCs w:val="26"/>
        </w:rPr>
      </w:pPr>
    </w:p>
    <w:tbl>
      <w:tblPr>
        <w:tblStyle w:val="TableGrid"/>
        <w:tblW w:w="0" w:type="auto"/>
        <w:tblLook w:val="04A0" w:firstRow="1" w:lastRow="0" w:firstColumn="1" w:lastColumn="0" w:noHBand="0" w:noVBand="1"/>
      </w:tblPr>
      <w:tblGrid>
        <w:gridCol w:w="3116"/>
        <w:gridCol w:w="3117"/>
        <w:gridCol w:w="3117"/>
      </w:tblGrid>
      <w:tr w:rsidRPr="00E013FB" w:rsidR="0017695B" w:rsidTr="00C139B1" w14:paraId="599384AE" w14:textId="77777777">
        <w:tc>
          <w:tcPr>
            <w:tcW w:w="3116" w:type="dxa"/>
            <w:shd w:val="clear" w:color="auto" w:fill="BFBFBF" w:themeFill="background1" w:themeFillShade="BF"/>
          </w:tcPr>
          <w:p w:rsidRPr="00E013FB" w:rsidR="0017695B" w:rsidP="0017695B" w:rsidRDefault="0017695B" w14:paraId="2C7531C9" w14:textId="3FAD3990">
            <w:pPr>
              <w:pStyle w:val="Res-Caption"/>
              <w:ind w:left="0"/>
              <w:rPr>
                <w:rFonts w:ascii="Book Antiqua" w:hAnsi="Book Antiqua" w:cstheme="minorHAnsi"/>
                <w:b/>
                <w:bCs/>
                <w:szCs w:val="26"/>
              </w:rPr>
            </w:pPr>
            <w:r w:rsidRPr="00E013FB">
              <w:rPr>
                <w:rFonts w:ascii="Book Antiqua" w:hAnsi="Book Antiqua" w:cstheme="minorHAnsi"/>
                <w:b/>
                <w:bCs/>
                <w:szCs w:val="26"/>
              </w:rPr>
              <w:t>Fully Incorporate</w:t>
            </w:r>
          </w:p>
        </w:tc>
        <w:tc>
          <w:tcPr>
            <w:tcW w:w="3117" w:type="dxa"/>
            <w:shd w:val="clear" w:color="auto" w:fill="BFBFBF" w:themeFill="background1" w:themeFillShade="BF"/>
          </w:tcPr>
          <w:p w:rsidRPr="00E013FB" w:rsidR="0017695B" w:rsidP="0017695B" w:rsidRDefault="0017695B" w14:paraId="2703BAD9" w14:textId="7386234C">
            <w:pPr>
              <w:pStyle w:val="Res-Caption"/>
              <w:ind w:left="0"/>
              <w:rPr>
                <w:rFonts w:ascii="Book Antiqua" w:hAnsi="Book Antiqua" w:cstheme="minorHAnsi"/>
                <w:b/>
                <w:bCs/>
                <w:szCs w:val="26"/>
              </w:rPr>
            </w:pPr>
            <w:r w:rsidRPr="00E013FB">
              <w:rPr>
                <w:rFonts w:ascii="Book Antiqua" w:hAnsi="Book Antiqua" w:cstheme="minorHAnsi"/>
                <w:b/>
                <w:bCs/>
                <w:szCs w:val="26"/>
              </w:rPr>
              <w:t>Incorporate with Adjustments</w:t>
            </w:r>
          </w:p>
        </w:tc>
        <w:tc>
          <w:tcPr>
            <w:tcW w:w="3117" w:type="dxa"/>
            <w:shd w:val="clear" w:color="auto" w:fill="BFBFBF" w:themeFill="background1" w:themeFillShade="BF"/>
          </w:tcPr>
          <w:p w:rsidRPr="00E013FB" w:rsidR="0017695B" w:rsidP="0017695B" w:rsidRDefault="0017695B" w14:paraId="5523CD9B" w14:textId="7C052094">
            <w:pPr>
              <w:pStyle w:val="Res-Caption"/>
              <w:ind w:left="0"/>
              <w:rPr>
                <w:rFonts w:ascii="Book Antiqua" w:hAnsi="Book Antiqua" w:cstheme="minorHAnsi"/>
                <w:b/>
                <w:bCs/>
                <w:szCs w:val="26"/>
              </w:rPr>
            </w:pPr>
            <w:r w:rsidRPr="00E013FB">
              <w:rPr>
                <w:rFonts w:ascii="Book Antiqua" w:hAnsi="Book Antiqua" w:cstheme="minorHAnsi"/>
                <w:b/>
                <w:bCs/>
                <w:szCs w:val="26"/>
              </w:rPr>
              <w:t>Do Not Incorporate at this time</w:t>
            </w:r>
          </w:p>
        </w:tc>
      </w:tr>
      <w:tr w:rsidRPr="00E013FB" w:rsidR="0017695B" w:rsidTr="0017695B" w14:paraId="7A55C419" w14:textId="77777777">
        <w:tc>
          <w:tcPr>
            <w:tcW w:w="3116" w:type="dxa"/>
          </w:tcPr>
          <w:p w:rsidRPr="00E013FB" w:rsidR="0017695B" w:rsidP="0017695B" w:rsidRDefault="0017695B" w14:paraId="0B55EB18" w14:textId="16A04139">
            <w:pPr>
              <w:pStyle w:val="Res-Caption"/>
              <w:ind w:left="0"/>
              <w:rPr>
                <w:rFonts w:ascii="Book Antiqua" w:hAnsi="Book Antiqua" w:cstheme="minorHAnsi"/>
                <w:szCs w:val="26"/>
              </w:rPr>
            </w:pPr>
            <w:r w:rsidRPr="00E013FB">
              <w:rPr>
                <w:rFonts w:ascii="Book Antiqua" w:hAnsi="Book Antiqua" w:cstheme="minorHAnsi"/>
                <w:b/>
                <w:bCs/>
                <w:szCs w:val="26"/>
              </w:rPr>
              <w:t>N/A</w:t>
            </w:r>
          </w:p>
        </w:tc>
        <w:tc>
          <w:tcPr>
            <w:tcW w:w="3117" w:type="dxa"/>
          </w:tcPr>
          <w:p w:rsidRPr="00E013FB" w:rsidR="0017695B" w:rsidP="00DC243A" w:rsidRDefault="0017695B" w14:paraId="7A28B010" w14:textId="1455C732">
            <w:pPr>
              <w:tabs>
                <w:tab w:val="left" w:pos="2520"/>
              </w:tabs>
              <w:rPr>
                <w:rFonts w:cstheme="minorHAnsi"/>
                <w:color w:val="000000" w:themeColor="text1"/>
                <w:szCs w:val="26"/>
              </w:rPr>
            </w:pPr>
            <w:r w:rsidRPr="00E013FB">
              <w:rPr>
                <w:rFonts w:cstheme="minorHAnsi"/>
                <w:color w:val="000000" w:themeColor="text1"/>
                <w:szCs w:val="26"/>
              </w:rPr>
              <w:t>5.1 Develop a Unit Within or Outside of the Utility, to Study Black Swan Events and Predict Potential Future Events</w:t>
            </w:r>
          </w:p>
        </w:tc>
        <w:tc>
          <w:tcPr>
            <w:tcW w:w="3117" w:type="dxa"/>
          </w:tcPr>
          <w:p w:rsidRPr="00E013FB" w:rsidR="0017695B" w:rsidP="00DC243A" w:rsidRDefault="0017695B" w14:paraId="343F1A2D" w14:textId="77777777">
            <w:pPr>
              <w:tabs>
                <w:tab w:val="left" w:pos="2520"/>
              </w:tabs>
              <w:rPr>
                <w:rFonts w:cstheme="minorHAnsi"/>
                <w:color w:val="000000" w:themeColor="text1"/>
                <w:szCs w:val="26"/>
              </w:rPr>
            </w:pPr>
            <w:r w:rsidRPr="00E013FB">
              <w:rPr>
                <w:rFonts w:cstheme="minorHAnsi"/>
                <w:color w:val="000000" w:themeColor="text1"/>
                <w:szCs w:val="26"/>
              </w:rPr>
              <w:t>5.2 Insert Safety Language into Investor Owned Utility Board Member Job Descriptions</w:t>
            </w:r>
          </w:p>
          <w:p w:rsidRPr="00E013FB" w:rsidR="0017695B" w:rsidP="0017695B" w:rsidRDefault="0017695B" w14:paraId="05F7466F" w14:textId="77777777">
            <w:pPr>
              <w:pStyle w:val="Res-Caption"/>
              <w:ind w:left="0"/>
              <w:rPr>
                <w:rFonts w:ascii="Book Antiqua" w:hAnsi="Book Antiqua" w:cstheme="minorHAnsi"/>
                <w:b/>
                <w:bCs/>
                <w:szCs w:val="26"/>
              </w:rPr>
            </w:pPr>
          </w:p>
        </w:tc>
      </w:tr>
      <w:tr w:rsidRPr="00E013FB" w:rsidR="0017695B" w:rsidTr="0017695B" w14:paraId="1150D552" w14:textId="77777777">
        <w:tc>
          <w:tcPr>
            <w:tcW w:w="3116" w:type="dxa"/>
          </w:tcPr>
          <w:p w:rsidRPr="00E013FB" w:rsidR="0017695B" w:rsidP="0017695B" w:rsidRDefault="0017695B" w14:paraId="4750E0A1" w14:textId="77777777">
            <w:pPr>
              <w:pStyle w:val="Res-Caption"/>
              <w:ind w:left="0"/>
              <w:rPr>
                <w:rFonts w:ascii="Book Antiqua" w:hAnsi="Book Antiqua" w:cstheme="minorHAnsi"/>
                <w:szCs w:val="26"/>
              </w:rPr>
            </w:pPr>
          </w:p>
        </w:tc>
        <w:tc>
          <w:tcPr>
            <w:tcW w:w="3117" w:type="dxa"/>
          </w:tcPr>
          <w:p w:rsidRPr="00E013FB" w:rsidR="0017695B" w:rsidP="0017695B" w:rsidRDefault="0017695B" w14:paraId="04C6498C" w14:textId="77777777">
            <w:pPr>
              <w:pStyle w:val="Res-Caption"/>
              <w:ind w:left="0"/>
              <w:rPr>
                <w:rFonts w:ascii="Book Antiqua" w:hAnsi="Book Antiqua" w:cstheme="minorHAnsi"/>
                <w:b/>
                <w:bCs/>
                <w:szCs w:val="26"/>
              </w:rPr>
            </w:pPr>
          </w:p>
        </w:tc>
        <w:tc>
          <w:tcPr>
            <w:tcW w:w="3117" w:type="dxa"/>
          </w:tcPr>
          <w:p w:rsidRPr="00E013FB" w:rsidR="0017695B" w:rsidP="00DC243A" w:rsidRDefault="0017695B" w14:paraId="580D2CD0" w14:textId="77777777">
            <w:pPr>
              <w:tabs>
                <w:tab w:val="left" w:pos="2520"/>
              </w:tabs>
              <w:rPr>
                <w:rFonts w:cstheme="minorHAnsi"/>
                <w:color w:val="000000" w:themeColor="text1"/>
                <w:szCs w:val="26"/>
              </w:rPr>
            </w:pPr>
            <w:r w:rsidRPr="00E013FB">
              <w:rPr>
                <w:rFonts w:cstheme="minorHAnsi"/>
                <w:color w:val="000000" w:themeColor="text1"/>
                <w:szCs w:val="26"/>
              </w:rPr>
              <w:t>5.3 Ensure Consistent Compliance with High-Level Safety Standard</w:t>
            </w:r>
          </w:p>
          <w:p w:rsidRPr="00E013FB" w:rsidR="0017695B" w:rsidP="0017695B" w:rsidRDefault="0017695B" w14:paraId="46003728" w14:textId="77777777">
            <w:pPr>
              <w:pStyle w:val="Res-Caption"/>
              <w:ind w:left="0"/>
              <w:rPr>
                <w:rFonts w:ascii="Book Antiqua" w:hAnsi="Book Antiqua" w:cstheme="minorHAnsi"/>
                <w:b/>
                <w:bCs/>
                <w:szCs w:val="26"/>
              </w:rPr>
            </w:pPr>
          </w:p>
        </w:tc>
      </w:tr>
      <w:tr w:rsidRPr="00E013FB" w:rsidR="0017695B" w:rsidTr="0017695B" w14:paraId="7811F7D9" w14:textId="77777777">
        <w:tc>
          <w:tcPr>
            <w:tcW w:w="3116" w:type="dxa"/>
          </w:tcPr>
          <w:p w:rsidRPr="00E013FB" w:rsidR="0017695B" w:rsidP="0017695B" w:rsidRDefault="0017695B" w14:paraId="651471D2" w14:textId="77777777">
            <w:pPr>
              <w:pStyle w:val="Res-Caption"/>
              <w:ind w:left="0"/>
              <w:rPr>
                <w:rFonts w:ascii="Book Antiqua" w:hAnsi="Book Antiqua" w:cstheme="minorHAnsi"/>
                <w:szCs w:val="26"/>
              </w:rPr>
            </w:pPr>
          </w:p>
        </w:tc>
        <w:tc>
          <w:tcPr>
            <w:tcW w:w="3117" w:type="dxa"/>
          </w:tcPr>
          <w:p w:rsidRPr="00E013FB" w:rsidR="0017695B" w:rsidP="0017695B" w:rsidRDefault="0017695B" w14:paraId="5C5F669F" w14:textId="77777777">
            <w:pPr>
              <w:pStyle w:val="Res-Caption"/>
              <w:ind w:left="0"/>
              <w:rPr>
                <w:rFonts w:ascii="Book Antiqua" w:hAnsi="Book Antiqua" w:cstheme="minorHAnsi"/>
                <w:b/>
                <w:bCs/>
                <w:szCs w:val="26"/>
              </w:rPr>
            </w:pPr>
          </w:p>
        </w:tc>
        <w:tc>
          <w:tcPr>
            <w:tcW w:w="3117" w:type="dxa"/>
          </w:tcPr>
          <w:p w:rsidRPr="00E013FB" w:rsidR="0017695B" w:rsidP="00DC243A" w:rsidRDefault="0017695B" w14:paraId="327DA029" w14:textId="77777777">
            <w:pPr>
              <w:tabs>
                <w:tab w:val="left" w:pos="2520"/>
              </w:tabs>
              <w:rPr>
                <w:rFonts w:cstheme="minorHAnsi"/>
                <w:color w:val="000000" w:themeColor="text1"/>
                <w:szCs w:val="26"/>
              </w:rPr>
            </w:pPr>
            <w:r w:rsidRPr="00E013FB">
              <w:rPr>
                <w:rFonts w:cstheme="minorHAnsi"/>
                <w:color w:val="000000" w:themeColor="text1"/>
                <w:szCs w:val="26"/>
              </w:rPr>
              <w:t>5.4 Post-Accident Debriefing and Learning</w:t>
            </w:r>
          </w:p>
          <w:p w:rsidRPr="00E013FB" w:rsidR="0017695B" w:rsidP="0017695B" w:rsidRDefault="0017695B" w14:paraId="52F0B9BA" w14:textId="77777777">
            <w:pPr>
              <w:pStyle w:val="Res-Caption"/>
              <w:ind w:left="0"/>
              <w:rPr>
                <w:rFonts w:ascii="Book Antiqua" w:hAnsi="Book Antiqua" w:cstheme="minorHAnsi"/>
                <w:b/>
                <w:bCs/>
                <w:szCs w:val="26"/>
              </w:rPr>
            </w:pPr>
          </w:p>
        </w:tc>
      </w:tr>
    </w:tbl>
    <w:p w:rsidRPr="00E013FB" w:rsidR="0017695B" w:rsidP="00546EFC" w:rsidRDefault="0017695B" w14:paraId="02A56623" w14:textId="77777777">
      <w:pPr>
        <w:pStyle w:val="Res-Caption"/>
        <w:ind w:left="0"/>
        <w:rPr>
          <w:rFonts w:ascii="Book Antiqua" w:hAnsi="Book Antiqua" w:cstheme="minorHAnsi"/>
          <w:szCs w:val="26"/>
        </w:rPr>
      </w:pPr>
    </w:p>
    <w:p w:rsidRPr="00AF2C94" w:rsidR="004D6831" w:rsidP="00AF2C94" w:rsidRDefault="00FA0CCB" w14:paraId="5D63A44B" w14:textId="6240B885">
      <w:pPr>
        <w:pStyle w:val="Standard"/>
      </w:pPr>
      <w:r w:rsidRPr="00E013FB">
        <w:t>R</w:t>
      </w:r>
      <w:r w:rsidRPr="00E013FB" w:rsidR="006D0BFD">
        <w:t xml:space="preserve">ecommendations that were not incorporated may also be longer-term processes that utilities may not be able to fully implement before the 2021 WMP update. </w:t>
      </w:r>
    </w:p>
    <w:p w:rsidRPr="00AF2C94" w:rsidR="006D0BFD" w:rsidP="00AF2C94" w:rsidRDefault="004D6831" w14:paraId="0C026586" w14:textId="67F3BE46">
      <w:pPr>
        <w:pStyle w:val="Standard"/>
      </w:pPr>
      <w:r w:rsidRPr="00E013FB">
        <w:t xml:space="preserve">The Commission has evaluated </w:t>
      </w:r>
      <w:r w:rsidRPr="00E013FB" w:rsidR="001E4BCD">
        <w:t xml:space="preserve">the </w:t>
      </w:r>
      <w:r w:rsidRPr="00E013FB">
        <w:t xml:space="preserve">WSD’s discussion of the WSAB recommendations above and in Attachment 1 and is satisfied with the treatment given those recommendations.  </w:t>
      </w:r>
    </w:p>
    <w:p w:rsidRPr="00E013FB" w:rsidR="006D0BFD" w:rsidP="003923D6" w:rsidRDefault="006D0BFD" w14:paraId="74D3169A" w14:textId="63E55813">
      <w:pPr>
        <w:pStyle w:val="Res-Caption"/>
        <w:numPr>
          <w:ilvl w:val="0"/>
          <w:numId w:val="38"/>
        </w:numPr>
        <w:spacing w:after="120"/>
        <w:rPr>
          <w:rFonts w:ascii="Book Antiqua" w:hAnsi="Book Antiqua" w:cstheme="minorHAnsi"/>
          <w:b/>
          <w:bCs/>
          <w:szCs w:val="26"/>
        </w:rPr>
      </w:pPr>
      <w:r w:rsidRPr="00E013FB">
        <w:rPr>
          <w:rFonts w:ascii="Book Antiqua" w:hAnsi="Book Antiqua" w:cstheme="minorHAnsi"/>
          <w:b/>
          <w:bCs/>
          <w:szCs w:val="26"/>
        </w:rPr>
        <w:t xml:space="preserve">Attachment </w:t>
      </w:r>
      <w:r w:rsidRPr="00E013FB" w:rsidR="00F05636">
        <w:rPr>
          <w:rFonts w:ascii="Book Antiqua" w:hAnsi="Book Antiqua" w:cstheme="minorHAnsi"/>
          <w:b/>
          <w:bCs/>
          <w:szCs w:val="26"/>
        </w:rPr>
        <w:t>2.1:</w:t>
      </w:r>
      <w:r w:rsidRPr="00E013FB" w:rsidR="009A6042">
        <w:rPr>
          <w:rFonts w:ascii="Book Antiqua" w:hAnsi="Book Antiqua" w:cstheme="minorHAnsi"/>
          <w:b/>
          <w:bCs/>
          <w:szCs w:val="26"/>
        </w:rPr>
        <w:t xml:space="preserve"> </w:t>
      </w:r>
      <w:r w:rsidRPr="00E013FB">
        <w:rPr>
          <w:rFonts w:ascii="Book Antiqua" w:hAnsi="Book Antiqua" w:cstheme="minorHAnsi"/>
          <w:b/>
          <w:bCs/>
          <w:szCs w:val="26"/>
        </w:rPr>
        <w:t xml:space="preserve">Changes to WMP Guidelines </w:t>
      </w:r>
    </w:p>
    <w:p w:rsidRPr="00E013FB" w:rsidR="00F05636" w:rsidP="00546EFC" w:rsidRDefault="00F05636" w14:paraId="59663D4D" w14:textId="77777777">
      <w:pPr>
        <w:pStyle w:val="Res-Caption"/>
        <w:spacing w:after="120"/>
        <w:rPr>
          <w:rFonts w:ascii="Book Antiqua" w:hAnsi="Book Antiqua" w:cstheme="minorHAnsi"/>
          <w:b/>
          <w:bCs/>
          <w:szCs w:val="26"/>
        </w:rPr>
      </w:pPr>
      <w:r w:rsidRPr="00E013FB">
        <w:rPr>
          <w:rFonts w:ascii="Book Antiqua" w:hAnsi="Book Antiqua" w:cstheme="minorHAnsi"/>
          <w:b/>
          <w:bCs/>
          <w:szCs w:val="26"/>
        </w:rPr>
        <w:t>Attachment 2.2: 2021 WMP Guidelines Template</w:t>
      </w:r>
    </w:p>
    <w:p w:rsidRPr="00E013FB" w:rsidR="00F05636" w:rsidP="00546EFC" w:rsidRDefault="00F05636" w14:paraId="733A9E22" w14:textId="77777777">
      <w:pPr>
        <w:pStyle w:val="Res-Caption"/>
        <w:spacing w:after="120"/>
        <w:rPr>
          <w:rFonts w:ascii="Book Antiqua" w:hAnsi="Book Antiqua" w:cstheme="minorHAnsi"/>
          <w:b/>
          <w:bCs/>
          <w:szCs w:val="26"/>
        </w:rPr>
      </w:pPr>
      <w:r w:rsidRPr="00E013FB">
        <w:rPr>
          <w:rFonts w:ascii="Book Antiqua" w:hAnsi="Book Antiqua" w:cstheme="minorHAnsi"/>
          <w:b/>
          <w:bCs/>
          <w:szCs w:val="26"/>
        </w:rPr>
        <w:t>Attachment 2.3: 2021 Performance Metrics Data Template</w:t>
      </w:r>
    </w:p>
    <w:p w:rsidRPr="00E013FB" w:rsidR="00F05636" w:rsidP="00546EFC" w:rsidRDefault="00F05636" w14:paraId="6C2C0502" w14:textId="77777777">
      <w:pPr>
        <w:pStyle w:val="Res-Caption"/>
        <w:spacing w:after="120"/>
        <w:rPr>
          <w:rFonts w:ascii="Book Antiqua" w:hAnsi="Book Antiqua" w:cstheme="minorHAnsi"/>
          <w:b/>
          <w:bCs/>
          <w:szCs w:val="26"/>
        </w:rPr>
      </w:pPr>
      <w:r w:rsidRPr="00E013FB">
        <w:rPr>
          <w:rFonts w:ascii="Book Antiqua" w:hAnsi="Book Antiqua" w:cstheme="minorHAnsi"/>
          <w:b/>
          <w:bCs/>
          <w:szCs w:val="26"/>
        </w:rPr>
        <w:t>Attachment 2.4: 2021 Maturity Model</w:t>
      </w:r>
    </w:p>
    <w:p w:rsidRPr="00E013FB" w:rsidR="00F05636" w:rsidP="00CF5EEB" w:rsidRDefault="00F05636" w14:paraId="48FE288B" w14:textId="77777777">
      <w:pPr>
        <w:pStyle w:val="Res-Caption"/>
        <w:rPr>
          <w:rFonts w:ascii="Book Antiqua" w:hAnsi="Book Antiqua" w:cstheme="minorHAnsi"/>
          <w:b/>
          <w:bCs/>
          <w:szCs w:val="26"/>
        </w:rPr>
      </w:pPr>
    </w:p>
    <w:p w:rsidRPr="00AF2C94" w:rsidR="006D0BFD" w:rsidP="00AF2C94" w:rsidRDefault="004D094C" w14:paraId="4B8ABFDC" w14:textId="41DC8DE5">
      <w:pPr>
        <w:pStyle w:val="Standard"/>
      </w:pPr>
      <w:r w:rsidRPr="00E013FB">
        <w:t>The WMP requirements are generally the same as in 2020 but have been restructured for streamlined reporting and evaluation.  Definitions of metrics have been clarified and tables have been altered to improve overall reporting structure.</w:t>
      </w:r>
    </w:p>
    <w:p w:rsidRPr="00AF2C94" w:rsidR="001E068E" w:rsidP="00AF2C94" w:rsidRDefault="000E1ED4" w14:paraId="5A725B6D" w14:textId="453C59B1">
      <w:pPr>
        <w:pStyle w:val="Standard"/>
      </w:pPr>
      <w:r w:rsidRPr="00E013FB">
        <w:t>Key changes in the 2021 process over 2020 include the following required elements:</w:t>
      </w:r>
    </w:p>
    <w:p w:rsidRPr="00E013FB" w:rsidR="000E1ED4" w:rsidP="00AF2C94" w:rsidRDefault="000E1ED4" w14:paraId="12A0C9B6" w14:textId="17037F80">
      <w:pPr>
        <w:pStyle w:val="Res-Caption"/>
        <w:numPr>
          <w:ilvl w:val="1"/>
          <w:numId w:val="38"/>
        </w:numPr>
        <w:spacing w:after="120"/>
        <w:ind w:left="1080" w:right="1440"/>
        <w:rPr>
          <w:rFonts w:ascii="Book Antiqua" w:hAnsi="Book Antiqua" w:cstheme="minorHAnsi"/>
          <w:szCs w:val="26"/>
        </w:rPr>
      </w:pPr>
      <w:r w:rsidRPr="00E013FB">
        <w:rPr>
          <w:rFonts w:ascii="Book Antiqua" w:hAnsi="Book Antiqua" w:cstheme="minorHAnsi"/>
          <w:szCs w:val="26"/>
        </w:rPr>
        <w:t xml:space="preserve">A revised standard WMP format </w:t>
      </w:r>
      <w:r w:rsidRPr="00E013FB" w:rsidR="00F05636">
        <w:rPr>
          <w:rFonts w:ascii="Book Antiqua" w:hAnsi="Book Antiqua" w:cstheme="minorHAnsi"/>
          <w:szCs w:val="26"/>
        </w:rPr>
        <w:t xml:space="preserve">(Attachment 2.1) </w:t>
      </w:r>
      <w:r w:rsidRPr="00E013FB" w:rsidR="0073519E">
        <w:rPr>
          <w:rFonts w:ascii="Book Antiqua" w:hAnsi="Book Antiqua" w:cstheme="minorHAnsi"/>
          <w:szCs w:val="26"/>
        </w:rPr>
        <w:t xml:space="preserve">for all </w:t>
      </w:r>
      <w:r w:rsidRPr="00E013FB">
        <w:rPr>
          <w:rFonts w:ascii="Book Antiqua" w:hAnsi="Book Antiqua" w:cstheme="minorHAnsi"/>
          <w:szCs w:val="26"/>
        </w:rPr>
        <w:t>WMP filers is required</w:t>
      </w:r>
      <w:r w:rsidRPr="00E013FB" w:rsidR="0073519E">
        <w:rPr>
          <w:rFonts w:ascii="Book Antiqua" w:hAnsi="Book Antiqua" w:cstheme="minorHAnsi"/>
          <w:szCs w:val="26"/>
        </w:rPr>
        <w:t xml:space="preserve"> </w:t>
      </w:r>
      <w:r w:rsidRPr="00E013FB">
        <w:rPr>
          <w:rFonts w:ascii="Book Antiqua" w:hAnsi="Book Antiqua" w:cstheme="minorHAnsi"/>
          <w:szCs w:val="26"/>
        </w:rPr>
        <w:t xml:space="preserve">so WMPs all include similar information in the same format. </w:t>
      </w:r>
    </w:p>
    <w:p w:rsidRPr="00E013FB" w:rsidR="000E1ED4" w:rsidP="00AF2C94" w:rsidRDefault="000E1ED4" w14:paraId="3D670F3A" w14:textId="7995E369">
      <w:pPr>
        <w:pStyle w:val="Res-Caption"/>
        <w:numPr>
          <w:ilvl w:val="1"/>
          <w:numId w:val="38"/>
        </w:numPr>
        <w:spacing w:after="120"/>
        <w:ind w:left="1080" w:right="1440"/>
        <w:rPr>
          <w:rFonts w:ascii="Book Antiqua" w:hAnsi="Book Antiqua" w:cstheme="minorHAnsi"/>
          <w:szCs w:val="26"/>
        </w:rPr>
      </w:pPr>
      <w:r w:rsidRPr="00E013FB">
        <w:rPr>
          <w:rFonts w:ascii="Book Antiqua" w:hAnsi="Book Antiqua" w:cstheme="minorHAnsi"/>
          <w:szCs w:val="26"/>
        </w:rPr>
        <w:t>The revised format streamline</w:t>
      </w:r>
      <w:r w:rsidRPr="00E013FB" w:rsidR="004D094C">
        <w:rPr>
          <w:rFonts w:ascii="Book Antiqua" w:hAnsi="Book Antiqua" w:cstheme="minorHAnsi"/>
          <w:szCs w:val="26"/>
        </w:rPr>
        <w:t>s</w:t>
      </w:r>
      <w:r w:rsidRPr="00E013FB">
        <w:rPr>
          <w:rFonts w:ascii="Book Antiqua" w:hAnsi="Book Antiqua" w:cstheme="minorHAnsi"/>
          <w:szCs w:val="26"/>
        </w:rPr>
        <w:t xml:space="preserve"> the data </w:t>
      </w:r>
      <w:r w:rsidRPr="00E013FB" w:rsidR="00530A2D">
        <w:rPr>
          <w:rFonts w:ascii="Book Antiqua" w:hAnsi="Book Antiqua" w:cstheme="minorHAnsi"/>
          <w:szCs w:val="26"/>
        </w:rPr>
        <w:t xml:space="preserve">presented </w:t>
      </w:r>
      <w:r w:rsidRPr="00E013FB">
        <w:rPr>
          <w:rFonts w:ascii="Book Antiqua" w:hAnsi="Book Antiqua" w:cstheme="minorHAnsi"/>
          <w:szCs w:val="26"/>
        </w:rPr>
        <w:t xml:space="preserve">in the WMPs by eliminating duplication and </w:t>
      </w:r>
      <w:r w:rsidRPr="00E013FB" w:rsidR="00530A2D">
        <w:rPr>
          <w:rFonts w:ascii="Book Antiqua" w:hAnsi="Book Antiqua" w:cstheme="minorHAnsi"/>
          <w:szCs w:val="26"/>
        </w:rPr>
        <w:t xml:space="preserve">certain </w:t>
      </w:r>
      <w:r w:rsidRPr="00E013FB">
        <w:rPr>
          <w:rFonts w:ascii="Book Antiqua" w:hAnsi="Book Antiqua" w:cstheme="minorHAnsi"/>
          <w:szCs w:val="26"/>
        </w:rPr>
        <w:t xml:space="preserve">data that will be provided </w:t>
      </w:r>
      <w:r w:rsidRPr="00E013FB" w:rsidR="00530A2D">
        <w:rPr>
          <w:rFonts w:ascii="Book Antiqua" w:hAnsi="Book Antiqua" w:cstheme="minorHAnsi"/>
          <w:szCs w:val="26"/>
        </w:rPr>
        <w:t xml:space="preserve">to the WSD </w:t>
      </w:r>
      <w:r w:rsidRPr="00E013FB">
        <w:rPr>
          <w:rFonts w:ascii="Book Antiqua" w:hAnsi="Book Antiqua" w:cstheme="minorHAnsi"/>
          <w:szCs w:val="26"/>
        </w:rPr>
        <w:t xml:space="preserve">via </w:t>
      </w:r>
      <w:r w:rsidRPr="00E013FB" w:rsidR="00530A2D">
        <w:rPr>
          <w:rFonts w:ascii="Book Antiqua" w:hAnsi="Book Antiqua" w:cstheme="minorHAnsi"/>
          <w:szCs w:val="26"/>
        </w:rPr>
        <w:t xml:space="preserve">quarterly data submissions in </w:t>
      </w:r>
      <w:r w:rsidRPr="00E013FB">
        <w:rPr>
          <w:rFonts w:ascii="Book Antiqua" w:hAnsi="Book Antiqua" w:cstheme="minorHAnsi"/>
          <w:szCs w:val="26"/>
        </w:rPr>
        <w:t>G</w:t>
      </w:r>
      <w:r w:rsidRPr="00E013FB" w:rsidR="0073519E">
        <w:rPr>
          <w:rFonts w:ascii="Book Antiqua" w:hAnsi="Book Antiqua" w:cstheme="minorHAnsi"/>
          <w:szCs w:val="26"/>
        </w:rPr>
        <w:t>eographic Information System (GIS)</w:t>
      </w:r>
      <w:r w:rsidRPr="00E013FB">
        <w:rPr>
          <w:rFonts w:ascii="Book Antiqua" w:hAnsi="Book Antiqua" w:cstheme="minorHAnsi"/>
          <w:szCs w:val="26"/>
        </w:rPr>
        <w:t xml:space="preserve"> </w:t>
      </w:r>
      <w:r w:rsidRPr="00E013FB" w:rsidR="00530A2D">
        <w:rPr>
          <w:rFonts w:ascii="Book Antiqua" w:hAnsi="Book Antiqua" w:cstheme="minorHAnsi"/>
          <w:szCs w:val="26"/>
        </w:rPr>
        <w:t>format.</w:t>
      </w:r>
      <w:r w:rsidRPr="00E013FB">
        <w:rPr>
          <w:rFonts w:ascii="Book Antiqua" w:hAnsi="Book Antiqua" w:cstheme="minorHAnsi"/>
          <w:szCs w:val="26"/>
        </w:rPr>
        <w:t xml:space="preserve"> </w:t>
      </w:r>
    </w:p>
    <w:p w:rsidRPr="00E013FB" w:rsidR="000E1ED4" w:rsidP="00AF2C94" w:rsidRDefault="000E1ED4" w14:paraId="35C0022E" w14:textId="0F146325">
      <w:pPr>
        <w:pStyle w:val="Res-Caption"/>
        <w:numPr>
          <w:ilvl w:val="1"/>
          <w:numId w:val="38"/>
        </w:numPr>
        <w:spacing w:after="120"/>
        <w:ind w:left="1080" w:right="1440"/>
        <w:rPr>
          <w:rFonts w:ascii="Book Antiqua" w:hAnsi="Book Antiqua" w:cstheme="minorHAnsi"/>
          <w:szCs w:val="26"/>
        </w:rPr>
      </w:pPr>
      <w:r w:rsidRPr="00E013FB">
        <w:rPr>
          <w:rFonts w:ascii="Book Antiqua" w:hAnsi="Book Antiqua" w:cstheme="minorHAnsi"/>
          <w:szCs w:val="26"/>
        </w:rPr>
        <w:t>Standard data is required of all WMP filers, in tabulated form, with</w:t>
      </w:r>
      <w:r w:rsidRPr="00E013FB" w:rsidR="0073519E">
        <w:rPr>
          <w:rFonts w:ascii="Book Antiqua" w:hAnsi="Book Antiqua" w:cstheme="minorHAnsi"/>
          <w:szCs w:val="26"/>
        </w:rPr>
        <w:t xml:space="preserve"> </w:t>
      </w:r>
      <w:r w:rsidRPr="00E013FB" w:rsidR="00BB45BE">
        <w:rPr>
          <w:rFonts w:ascii="Book Antiqua" w:hAnsi="Book Antiqua" w:cstheme="minorHAnsi"/>
          <w:szCs w:val="26"/>
        </w:rPr>
        <w:t xml:space="preserve">additional and supporting </w:t>
      </w:r>
      <w:r w:rsidRPr="00E013FB" w:rsidR="0073519E">
        <w:rPr>
          <w:rFonts w:ascii="Book Antiqua" w:hAnsi="Book Antiqua" w:cstheme="minorHAnsi"/>
          <w:szCs w:val="26"/>
        </w:rPr>
        <w:t>GIS</w:t>
      </w:r>
      <w:r w:rsidRPr="00E013FB">
        <w:rPr>
          <w:rFonts w:ascii="Book Antiqua" w:hAnsi="Book Antiqua" w:cstheme="minorHAnsi"/>
          <w:szCs w:val="26"/>
        </w:rPr>
        <w:t xml:space="preserve"> </w:t>
      </w:r>
      <w:r w:rsidRPr="00E013FB" w:rsidR="00BB45BE">
        <w:rPr>
          <w:rFonts w:ascii="Book Antiqua" w:hAnsi="Book Antiqua" w:cstheme="minorHAnsi"/>
          <w:szCs w:val="26"/>
        </w:rPr>
        <w:t>data</w:t>
      </w:r>
      <w:r w:rsidRPr="00E013FB">
        <w:rPr>
          <w:rFonts w:ascii="Book Antiqua" w:hAnsi="Book Antiqua" w:cstheme="minorHAnsi"/>
          <w:szCs w:val="26"/>
        </w:rPr>
        <w:t xml:space="preserve"> so wildfire mitigation </w:t>
      </w:r>
      <w:r w:rsidRPr="00E013FB" w:rsidR="00BB45BE">
        <w:rPr>
          <w:rFonts w:ascii="Book Antiqua" w:hAnsi="Book Antiqua" w:cstheme="minorHAnsi"/>
          <w:szCs w:val="26"/>
        </w:rPr>
        <w:t>plan assessments</w:t>
      </w:r>
      <w:r w:rsidRPr="00E013FB">
        <w:rPr>
          <w:rFonts w:ascii="Book Antiqua" w:hAnsi="Book Antiqua" w:cstheme="minorHAnsi"/>
          <w:szCs w:val="26"/>
        </w:rPr>
        <w:t xml:space="preserve"> are increasingly guided by data.  Use of data focused on key </w:t>
      </w:r>
      <w:r w:rsidRPr="00E013FB" w:rsidR="00BB45BE">
        <w:rPr>
          <w:rFonts w:ascii="Book Antiqua" w:hAnsi="Book Antiqua" w:cstheme="minorHAnsi"/>
          <w:szCs w:val="26"/>
        </w:rPr>
        <w:t xml:space="preserve">drivers </w:t>
      </w:r>
      <w:r w:rsidRPr="00E013FB">
        <w:rPr>
          <w:rFonts w:ascii="Book Antiqua" w:hAnsi="Book Antiqua" w:cstheme="minorHAnsi"/>
          <w:szCs w:val="26"/>
        </w:rPr>
        <w:t xml:space="preserve">of </w:t>
      </w:r>
      <w:r w:rsidRPr="00E013FB" w:rsidR="00BB45BE">
        <w:rPr>
          <w:rFonts w:ascii="Book Antiqua" w:hAnsi="Book Antiqua" w:cstheme="minorHAnsi"/>
          <w:szCs w:val="26"/>
        </w:rPr>
        <w:t xml:space="preserve">utility ignition risk </w:t>
      </w:r>
      <w:r w:rsidRPr="00E013FB">
        <w:rPr>
          <w:rFonts w:ascii="Book Antiqua" w:hAnsi="Book Antiqua" w:cstheme="minorHAnsi"/>
          <w:szCs w:val="26"/>
        </w:rPr>
        <w:t xml:space="preserve">should help alleviate </w:t>
      </w:r>
      <w:r w:rsidRPr="00E013FB" w:rsidR="00BB45BE">
        <w:rPr>
          <w:rFonts w:ascii="Book Antiqua" w:hAnsi="Book Antiqua" w:cstheme="minorHAnsi"/>
          <w:szCs w:val="26"/>
        </w:rPr>
        <w:t xml:space="preserve">the </w:t>
      </w:r>
      <w:r w:rsidRPr="00E013FB">
        <w:rPr>
          <w:rFonts w:ascii="Book Antiqua" w:hAnsi="Book Antiqua" w:cstheme="minorHAnsi"/>
          <w:szCs w:val="26"/>
        </w:rPr>
        <w:t xml:space="preserve">risk of catastrophic wildfire </w:t>
      </w:r>
      <w:r w:rsidRPr="00E013FB">
        <w:rPr>
          <w:rFonts w:ascii="Book Antiqua" w:hAnsi="Book Antiqua" w:cstheme="minorHAnsi"/>
          <w:szCs w:val="26"/>
        </w:rPr>
        <w:lastRenderedPageBreak/>
        <w:t xml:space="preserve">over time and allow </w:t>
      </w:r>
      <w:r w:rsidRPr="00E013FB" w:rsidR="00BB45BE">
        <w:rPr>
          <w:rFonts w:ascii="Book Antiqua" w:hAnsi="Book Antiqua" w:cstheme="minorHAnsi"/>
          <w:szCs w:val="26"/>
        </w:rPr>
        <w:t xml:space="preserve">for </w:t>
      </w:r>
      <w:r w:rsidRPr="00E013FB">
        <w:rPr>
          <w:rFonts w:ascii="Book Antiqua" w:hAnsi="Book Antiqua" w:cstheme="minorHAnsi"/>
          <w:szCs w:val="26"/>
        </w:rPr>
        <w:t>tracking of electrical corporation progress and compliance.</w:t>
      </w:r>
    </w:p>
    <w:p w:rsidRPr="00E013FB" w:rsidR="000E1ED4" w:rsidP="00AF2C94" w:rsidRDefault="00DC243A" w14:paraId="22207DF2" w14:textId="247D5F60">
      <w:pPr>
        <w:pStyle w:val="Res-Caption"/>
        <w:numPr>
          <w:ilvl w:val="1"/>
          <w:numId w:val="38"/>
        </w:numPr>
        <w:spacing w:after="120"/>
        <w:ind w:left="1080" w:right="1440"/>
        <w:rPr>
          <w:rFonts w:ascii="Book Antiqua" w:hAnsi="Book Antiqua" w:cstheme="minorHAnsi"/>
          <w:szCs w:val="26"/>
        </w:rPr>
      </w:pPr>
      <w:r w:rsidRPr="00E013FB">
        <w:rPr>
          <w:rFonts w:ascii="Book Antiqua" w:hAnsi="Book Antiqua" w:cstheme="minorHAnsi"/>
          <w:szCs w:val="26"/>
        </w:rPr>
        <w:t xml:space="preserve">The </w:t>
      </w:r>
      <w:r w:rsidRPr="00E013FB" w:rsidR="000E1ED4">
        <w:rPr>
          <w:rFonts w:ascii="Book Antiqua" w:hAnsi="Book Antiqua" w:cstheme="minorHAnsi"/>
          <w:szCs w:val="26"/>
        </w:rPr>
        <w:t xml:space="preserve">revised </w:t>
      </w:r>
      <w:r w:rsidRPr="00E013FB" w:rsidR="004D094C">
        <w:rPr>
          <w:rFonts w:ascii="Book Antiqua" w:hAnsi="Book Antiqua" w:cstheme="minorHAnsi"/>
          <w:szCs w:val="26"/>
        </w:rPr>
        <w:t>t</w:t>
      </w:r>
      <w:r w:rsidRPr="00E013FB" w:rsidR="000E1ED4">
        <w:rPr>
          <w:rFonts w:ascii="Book Antiqua" w:hAnsi="Book Antiqua" w:cstheme="minorHAnsi"/>
          <w:szCs w:val="26"/>
        </w:rPr>
        <w:t xml:space="preserve">emplate </w:t>
      </w:r>
      <w:r w:rsidRPr="00E013FB" w:rsidR="00F05636">
        <w:rPr>
          <w:rFonts w:ascii="Book Antiqua" w:hAnsi="Book Antiqua" w:cstheme="minorHAnsi"/>
          <w:szCs w:val="26"/>
        </w:rPr>
        <w:t xml:space="preserve">(Attachment 2.2) </w:t>
      </w:r>
      <w:r w:rsidRPr="00E013FB" w:rsidR="000E1ED4">
        <w:rPr>
          <w:rFonts w:ascii="Book Antiqua" w:hAnsi="Book Antiqua" w:cstheme="minorHAnsi"/>
          <w:szCs w:val="26"/>
        </w:rPr>
        <w:t>includes a “completeness checklist” detailing the 22 statutory requirements of AB 1054.</w:t>
      </w:r>
    </w:p>
    <w:p w:rsidRPr="00E013FB" w:rsidR="000E1ED4" w:rsidP="00AF2C94" w:rsidRDefault="000E1ED4" w14:paraId="538C8195" w14:textId="21361220">
      <w:pPr>
        <w:pStyle w:val="Res-Caption"/>
        <w:numPr>
          <w:ilvl w:val="1"/>
          <w:numId w:val="38"/>
        </w:numPr>
        <w:spacing w:after="120"/>
        <w:ind w:left="1080" w:right="1440"/>
        <w:rPr>
          <w:rFonts w:ascii="Book Antiqua" w:hAnsi="Book Antiqua" w:cstheme="minorHAnsi"/>
          <w:szCs w:val="26"/>
        </w:rPr>
      </w:pPr>
      <w:r w:rsidRPr="00E013FB">
        <w:rPr>
          <w:rFonts w:ascii="Book Antiqua" w:hAnsi="Book Antiqua" w:cstheme="minorHAnsi"/>
          <w:szCs w:val="26"/>
        </w:rPr>
        <w:t xml:space="preserve">The revised </w:t>
      </w:r>
      <w:r w:rsidRPr="00E013FB" w:rsidR="004D094C">
        <w:rPr>
          <w:rFonts w:ascii="Book Antiqua" w:hAnsi="Book Antiqua" w:cstheme="minorHAnsi"/>
          <w:szCs w:val="26"/>
        </w:rPr>
        <w:t>t</w:t>
      </w:r>
      <w:r w:rsidRPr="00E013FB">
        <w:rPr>
          <w:rFonts w:ascii="Book Antiqua" w:hAnsi="Book Antiqua" w:cstheme="minorHAnsi"/>
          <w:szCs w:val="26"/>
        </w:rPr>
        <w:t xml:space="preserve">emplate includes tables for summarizing the projected costs of mitigations proposed in the WMP, with a column for actual 2020 expenditures. </w:t>
      </w:r>
    </w:p>
    <w:p w:rsidRPr="00E013FB" w:rsidR="000E1ED4" w:rsidP="00AF2C94" w:rsidRDefault="000E1ED4" w14:paraId="505414B5" w14:textId="7A25CC86">
      <w:pPr>
        <w:pStyle w:val="Res-Caption"/>
        <w:numPr>
          <w:ilvl w:val="1"/>
          <w:numId w:val="38"/>
        </w:numPr>
        <w:spacing w:after="120"/>
        <w:ind w:left="1080" w:right="1440"/>
        <w:rPr>
          <w:rFonts w:ascii="Book Antiqua" w:hAnsi="Book Antiqua" w:cstheme="minorHAnsi"/>
          <w:szCs w:val="26"/>
        </w:rPr>
      </w:pPr>
      <w:r w:rsidRPr="00E013FB">
        <w:rPr>
          <w:rFonts w:ascii="Book Antiqua" w:hAnsi="Book Antiqua" w:cstheme="minorHAnsi"/>
          <w:szCs w:val="26"/>
        </w:rPr>
        <w:t xml:space="preserve">The revised </w:t>
      </w:r>
      <w:r w:rsidRPr="00E013FB" w:rsidR="004D094C">
        <w:rPr>
          <w:rFonts w:ascii="Book Antiqua" w:hAnsi="Book Antiqua" w:cstheme="minorHAnsi"/>
          <w:szCs w:val="26"/>
        </w:rPr>
        <w:t>t</w:t>
      </w:r>
      <w:r w:rsidRPr="00E013FB">
        <w:rPr>
          <w:rFonts w:ascii="Book Antiqua" w:hAnsi="Book Antiqua" w:cstheme="minorHAnsi"/>
          <w:szCs w:val="26"/>
        </w:rPr>
        <w:t>emplate includes a table for estimates of the ratepayer impacts of proposed mitigation expenditures.</w:t>
      </w:r>
    </w:p>
    <w:p w:rsidRPr="00E013FB" w:rsidR="000E1ED4" w:rsidP="00AF2C94" w:rsidRDefault="000E1ED4" w14:paraId="44AB4CF4" w14:textId="15EEE0C9">
      <w:pPr>
        <w:pStyle w:val="Res-Caption"/>
        <w:numPr>
          <w:ilvl w:val="1"/>
          <w:numId w:val="38"/>
        </w:numPr>
        <w:spacing w:after="120"/>
        <w:ind w:left="1080" w:right="1440"/>
        <w:rPr>
          <w:rFonts w:ascii="Book Antiqua" w:hAnsi="Book Antiqua" w:cstheme="minorHAnsi"/>
          <w:szCs w:val="26"/>
        </w:rPr>
      </w:pPr>
      <w:r w:rsidRPr="00E013FB">
        <w:rPr>
          <w:rFonts w:ascii="Book Antiqua" w:hAnsi="Book Antiqua" w:cstheme="minorHAnsi"/>
          <w:szCs w:val="26"/>
        </w:rPr>
        <w:t xml:space="preserve">To consolidate data and analysis related to </w:t>
      </w:r>
      <w:r w:rsidRPr="00E013FB" w:rsidR="004D6831">
        <w:rPr>
          <w:rFonts w:ascii="Book Antiqua" w:hAnsi="Book Antiqua" w:cstheme="minorHAnsi"/>
          <w:szCs w:val="26"/>
        </w:rPr>
        <w:t>P</w:t>
      </w:r>
      <w:r w:rsidRPr="00E013FB">
        <w:rPr>
          <w:rFonts w:ascii="Book Antiqua" w:hAnsi="Book Antiqua" w:cstheme="minorHAnsi"/>
          <w:szCs w:val="26"/>
        </w:rPr>
        <w:t xml:space="preserve">SPS, the revised WMP Template includes a PSPS </w:t>
      </w:r>
      <w:r w:rsidRPr="00E013FB" w:rsidR="004D094C">
        <w:rPr>
          <w:rFonts w:ascii="Book Antiqua" w:hAnsi="Book Antiqua" w:cstheme="minorHAnsi"/>
          <w:szCs w:val="26"/>
        </w:rPr>
        <w:t>s</w:t>
      </w:r>
      <w:r w:rsidRPr="00E013FB">
        <w:rPr>
          <w:rFonts w:ascii="Book Antiqua" w:hAnsi="Book Antiqua" w:cstheme="minorHAnsi"/>
          <w:szCs w:val="26"/>
        </w:rPr>
        <w:t xml:space="preserve">ection. </w:t>
      </w:r>
    </w:p>
    <w:p w:rsidRPr="00E013FB" w:rsidR="00903354" w:rsidP="00AF2C94" w:rsidRDefault="00903354" w14:paraId="061926CF" w14:textId="5C485EAC">
      <w:pPr>
        <w:pStyle w:val="Res-Caption"/>
        <w:numPr>
          <w:ilvl w:val="1"/>
          <w:numId w:val="38"/>
        </w:numPr>
        <w:spacing w:after="120"/>
        <w:ind w:left="1080" w:right="1440"/>
        <w:rPr>
          <w:rFonts w:ascii="Book Antiqua" w:hAnsi="Book Antiqua" w:cstheme="minorHAnsi"/>
          <w:szCs w:val="26"/>
        </w:rPr>
      </w:pPr>
      <w:r w:rsidRPr="00E013FB">
        <w:rPr>
          <w:rFonts w:ascii="Book Antiqua" w:hAnsi="Book Antiqua" w:cstheme="minorHAnsi"/>
          <w:szCs w:val="26"/>
        </w:rPr>
        <w:t>The Performance Metrics Data Template (Attachment 2.3) is an Excel spreadsheet for reporting non-spatial data</w:t>
      </w:r>
      <w:r w:rsidRPr="00E013FB" w:rsidR="0093511F">
        <w:rPr>
          <w:rFonts w:ascii="Book Antiqua" w:hAnsi="Book Antiqua" w:cstheme="minorHAnsi"/>
          <w:szCs w:val="26"/>
        </w:rPr>
        <w:t>,</w:t>
      </w:r>
      <w:r w:rsidRPr="00E013FB" w:rsidR="00F12507">
        <w:rPr>
          <w:rStyle w:val="FootnoteReference"/>
          <w:rFonts w:ascii="Book Antiqua" w:hAnsi="Book Antiqua" w:cstheme="minorHAnsi"/>
          <w:szCs w:val="26"/>
        </w:rPr>
        <w:footnoteReference w:id="7"/>
      </w:r>
      <w:r w:rsidRPr="00E013FB" w:rsidR="0093511F">
        <w:rPr>
          <w:rFonts w:ascii="Book Antiqua" w:hAnsi="Book Antiqua" w:cstheme="minorHAnsi"/>
          <w:szCs w:val="26"/>
        </w:rPr>
        <w:t xml:space="preserve"> which the WSD will require</w:t>
      </w:r>
      <w:r w:rsidRPr="00E013FB">
        <w:rPr>
          <w:rFonts w:ascii="Book Antiqua" w:hAnsi="Book Antiqua" w:cstheme="minorHAnsi"/>
          <w:szCs w:val="26"/>
        </w:rPr>
        <w:t xml:space="preserve"> on a quarterly basis</w:t>
      </w:r>
      <w:r w:rsidRPr="00E013FB" w:rsidR="0093511F">
        <w:rPr>
          <w:rFonts w:ascii="Book Antiqua" w:hAnsi="Book Antiqua" w:cstheme="minorHAnsi"/>
          <w:szCs w:val="26"/>
        </w:rPr>
        <w:t xml:space="preserve"> to align with GIS data submissions</w:t>
      </w:r>
      <w:r w:rsidRPr="00E013FB">
        <w:rPr>
          <w:rFonts w:ascii="Book Antiqua" w:hAnsi="Book Antiqua" w:cstheme="minorHAnsi"/>
          <w:szCs w:val="26"/>
        </w:rPr>
        <w:t>.</w:t>
      </w:r>
    </w:p>
    <w:p w:rsidRPr="00AF2C94" w:rsidR="004D6831" w:rsidP="00AF2C94" w:rsidRDefault="000E1ED4" w14:paraId="54B44744" w14:textId="6CFAD16D">
      <w:pPr>
        <w:pStyle w:val="Res-Caption"/>
        <w:numPr>
          <w:ilvl w:val="1"/>
          <w:numId w:val="38"/>
        </w:numPr>
        <w:spacing w:after="120"/>
        <w:ind w:left="1080" w:right="1440"/>
        <w:rPr>
          <w:rFonts w:ascii="Book Antiqua" w:hAnsi="Book Antiqua" w:cstheme="minorHAnsi"/>
          <w:szCs w:val="26"/>
        </w:rPr>
      </w:pPr>
      <w:r w:rsidRPr="00E013FB">
        <w:rPr>
          <w:rFonts w:ascii="Book Antiqua" w:hAnsi="Book Antiqua" w:cstheme="minorHAnsi"/>
          <w:szCs w:val="26"/>
        </w:rPr>
        <w:t xml:space="preserve">There are no recommended </w:t>
      </w:r>
      <w:r w:rsidRPr="00E013FB" w:rsidR="009A6042">
        <w:rPr>
          <w:rFonts w:ascii="Book Antiqua" w:hAnsi="Book Antiqua" w:cstheme="minorHAnsi"/>
          <w:szCs w:val="26"/>
        </w:rPr>
        <w:t xml:space="preserve">substantive </w:t>
      </w:r>
      <w:r w:rsidRPr="00E013FB">
        <w:rPr>
          <w:rFonts w:ascii="Book Antiqua" w:hAnsi="Book Antiqua" w:cstheme="minorHAnsi"/>
          <w:szCs w:val="26"/>
        </w:rPr>
        <w:t xml:space="preserve">changes to the “maturity model” </w:t>
      </w:r>
      <w:r w:rsidRPr="00E013FB" w:rsidR="00F05636">
        <w:rPr>
          <w:rFonts w:ascii="Book Antiqua" w:hAnsi="Book Antiqua" w:cstheme="minorHAnsi"/>
          <w:szCs w:val="26"/>
        </w:rPr>
        <w:t>(Attachment 2.4)</w:t>
      </w:r>
      <w:r w:rsidRPr="00E013FB" w:rsidR="004D094C">
        <w:rPr>
          <w:rFonts w:ascii="Book Antiqua" w:hAnsi="Book Antiqua" w:cstheme="minorHAnsi"/>
          <w:szCs w:val="26"/>
        </w:rPr>
        <w:t xml:space="preserve">.  This document requires WMP filers to </w:t>
      </w:r>
      <w:r w:rsidRPr="00E013FB">
        <w:rPr>
          <w:rFonts w:ascii="Book Antiqua" w:hAnsi="Book Antiqua" w:cstheme="minorHAnsi"/>
          <w:szCs w:val="26"/>
        </w:rPr>
        <w:t>complete a survey reporting current wildfire mitigation practices in 52 categories</w:t>
      </w:r>
      <w:r w:rsidRPr="00E013FB" w:rsidR="004D094C">
        <w:rPr>
          <w:rFonts w:ascii="Book Antiqua" w:hAnsi="Book Antiqua" w:cstheme="minorHAnsi"/>
          <w:szCs w:val="26"/>
        </w:rPr>
        <w:t>,</w:t>
      </w:r>
      <w:r w:rsidRPr="00E013FB">
        <w:rPr>
          <w:rFonts w:ascii="Book Antiqua" w:hAnsi="Book Antiqua" w:cstheme="minorHAnsi"/>
          <w:szCs w:val="26"/>
        </w:rPr>
        <w:t xml:space="preserve"> as well as planned improvements </w:t>
      </w:r>
      <w:r w:rsidRPr="00E013FB" w:rsidR="004D094C">
        <w:rPr>
          <w:rFonts w:ascii="Book Antiqua" w:hAnsi="Book Antiqua" w:cstheme="minorHAnsi"/>
          <w:szCs w:val="26"/>
        </w:rPr>
        <w:t xml:space="preserve">in </w:t>
      </w:r>
      <w:r w:rsidRPr="00E013FB">
        <w:rPr>
          <w:rFonts w:ascii="Book Antiqua" w:hAnsi="Book Antiqua" w:cstheme="minorHAnsi"/>
          <w:szCs w:val="26"/>
        </w:rPr>
        <w:t xml:space="preserve">each category over the next three years.  The WSD conducts a maturity assessment to assess the filer’s ability to reduce wildfire risk and its corresponding maturity level, which </w:t>
      </w:r>
      <w:r w:rsidRPr="00E013FB" w:rsidR="004D094C">
        <w:rPr>
          <w:rFonts w:ascii="Book Antiqua" w:hAnsi="Book Antiqua" w:cstheme="minorHAnsi"/>
          <w:szCs w:val="26"/>
        </w:rPr>
        <w:t xml:space="preserve">will be </w:t>
      </w:r>
      <w:r w:rsidRPr="00E013FB">
        <w:rPr>
          <w:rFonts w:ascii="Book Antiqua" w:hAnsi="Book Antiqua" w:cstheme="minorHAnsi"/>
          <w:szCs w:val="26"/>
        </w:rPr>
        <w:t>included</w:t>
      </w:r>
      <w:r w:rsidRPr="00E013FB" w:rsidR="009A6042">
        <w:rPr>
          <w:rFonts w:ascii="Book Antiqua" w:hAnsi="Book Antiqua" w:cstheme="minorHAnsi"/>
          <w:szCs w:val="26"/>
        </w:rPr>
        <w:t xml:space="preserve"> </w:t>
      </w:r>
      <w:r w:rsidRPr="00E013FB">
        <w:rPr>
          <w:rFonts w:ascii="Book Antiqua" w:hAnsi="Book Antiqua" w:cstheme="minorHAnsi"/>
          <w:szCs w:val="26"/>
        </w:rPr>
        <w:t xml:space="preserve">as part of the </w:t>
      </w:r>
      <w:r w:rsidRPr="00E013FB" w:rsidR="004D094C">
        <w:rPr>
          <w:rFonts w:ascii="Book Antiqua" w:hAnsi="Book Antiqua" w:cstheme="minorHAnsi"/>
          <w:szCs w:val="26"/>
        </w:rPr>
        <w:t xml:space="preserve">WSD’s </w:t>
      </w:r>
      <w:r w:rsidRPr="00E013FB">
        <w:rPr>
          <w:rFonts w:ascii="Book Antiqua" w:hAnsi="Book Antiqua" w:cstheme="minorHAnsi"/>
          <w:szCs w:val="26"/>
        </w:rPr>
        <w:t>2021 WMP evaluation</w:t>
      </w:r>
    </w:p>
    <w:p w:rsidRPr="00E013FB" w:rsidR="004D6831" w:rsidP="00AF2C94" w:rsidRDefault="004D6831" w14:paraId="7268B65A" w14:textId="0AAC9FC4">
      <w:pPr>
        <w:pStyle w:val="Standard"/>
      </w:pPr>
      <w:r w:rsidRPr="00E013FB">
        <w:t xml:space="preserve">The Commission has reviewed each of the Attachments and finds they appropriately update the WMP submissions to meet concerns raised in the last review.  </w:t>
      </w:r>
    </w:p>
    <w:p w:rsidRPr="00E013FB" w:rsidR="006D0BFD" w:rsidP="003923D6" w:rsidRDefault="006D0BFD" w14:paraId="5B603EA6" w14:textId="48F6DB1C">
      <w:pPr>
        <w:pStyle w:val="Res-Caption"/>
        <w:numPr>
          <w:ilvl w:val="0"/>
          <w:numId w:val="38"/>
        </w:numPr>
        <w:rPr>
          <w:rFonts w:ascii="Book Antiqua" w:hAnsi="Book Antiqua" w:cstheme="minorHAnsi"/>
          <w:b/>
          <w:bCs/>
          <w:szCs w:val="26"/>
        </w:rPr>
      </w:pPr>
      <w:r w:rsidRPr="00E013FB">
        <w:rPr>
          <w:rFonts w:ascii="Book Antiqua" w:hAnsi="Book Antiqua" w:cstheme="minorHAnsi"/>
          <w:b/>
          <w:bCs/>
          <w:szCs w:val="26"/>
        </w:rPr>
        <w:t xml:space="preserve">Attachment </w:t>
      </w:r>
      <w:r w:rsidRPr="00E013FB" w:rsidR="00D97228">
        <w:rPr>
          <w:rFonts w:ascii="Book Antiqua" w:hAnsi="Book Antiqua" w:cstheme="minorHAnsi"/>
          <w:b/>
          <w:bCs/>
          <w:szCs w:val="26"/>
        </w:rPr>
        <w:t>3</w:t>
      </w:r>
      <w:r w:rsidRPr="00E013FB" w:rsidR="00541678">
        <w:rPr>
          <w:rFonts w:ascii="Book Antiqua" w:hAnsi="Book Antiqua" w:cstheme="minorHAnsi"/>
          <w:b/>
          <w:bCs/>
          <w:szCs w:val="26"/>
        </w:rPr>
        <w:t>:</w:t>
      </w:r>
      <w:r w:rsidRPr="00E013FB">
        <w:rPr>
          <w:rFonts w:ascii="Book Antiqua" w:hAnsi="Book Antiqua" w:cstheme="minorHAnsi"/>
          <w:b/>
          <w:bCs/>
          <w:szCs w:val="26"/>
        </w:rPr>
        <w:t xml:space="preserve"> Changes to WMP Process</w:t>
      </w:r>
    </w:p>
    <w:p w:rsidRPr="00E013FB" w:rsidR="00E1689C" w:rsidP="00546EFC" w:rsidRDefault="00E1689C" w14:paraId="77BF2007" w14:textId="77777777">
      <w:pPr>
        <w:pStyle w:val="Res-Caption"/>
        <w:ind w:left="0"/>
        <w:rPr>
          <w:rFonts w:ascii="Book Antiqua" w:hAnsi="Book Antiqua" w:cstheme="minorHAnsi"/>
          <w:b/>
          <w:bCs/>
          <w:szCs w:val="26"/>
        </w:rPr>
      </w:pPr>
    </w:p>
    <w:p w:rsidRPr="00AF2C94" w:rsidR="00E1689C" w:rsidP="00AF2C94" w:rsidRDefault="00E1689C" w14:paraId="4E7FF9C3" w14:textId="6B8EC9EA">
      <w:pPr>
        <w:pStyle w:val="Standard"/>
      </w:pPr>
      <w:r w:rsidRPr="00E013FB">
        <w:t>A</w:t>
      </w:r>
      <w:r w:rsidRPr="00E013FB" w:rsidR="001A242B">
        <w:t xml:space="preserve">ll provisions of WSD-001 remain in place for the 2021 WMP submission </w:t>
      </w:r>
      <w:r w:rsidRPr="00AF2C94" w:rsidR="001A242B">
        <w:t>process</w:t>
      </w:r>
      <w:r w:rsidRPr="00E013FB">
        <w:t>.</w:t>
      </w:r>
      <w:r w:rsidRPr="00E013FB" w:rsidR="009A6042">
        <w:t xml:space="preserve"> </w:t>
      </w:r>
      <w:r w:rsidRPr="00E013FB" w:rsidR="00AC582A">
        <w:t xml:space="preserve"> </w:t>
      </w:r>
      <w:r w:rsidRPr="00E013FB" w:rsidR="00433A26">
        <w:t>Three</w:t>
      </w:r>
      <w:r w:rsidRPr="00E013FB">
        <w:t xml:space="preserve"> major recommendations</w:t>
      </w:r>
      <w:r w:rsidRPr="00E013FB" w:rsidR="0073519E">
        <w:t xml:space="preserve"> are adopted</w:t>
      </w:r>
      <w:r w:rsidRPr="00E013FB">
        <w:t xml:space="preserve"> to address the key challenges in</w:t>
      </w:r>
      <w:r w:rsidRPr="00E013FB" w:rsidR="00151658">
        <w:t xml:space="preserve"> the</w:t>
      </w:r>
      <w:r w:rsidRPr="00E013FB">
        <w:t xml:space="preserve"> WMP timeline, schedule and </w:t>
      </w:r>
      <w:r w:rsidRPr="00E013FB" w:rsidR="00963C90">
        <w:t>process</w:t>
      </w:r>
      <w:r w:rsidRPr="00E013FB">
        <w:t>:</w:t>
      </w:r>
    </w:p>
    <w:p w:rsidRPr="00E013FB" w:rsidR="00E1689C" w:rsidP="003923D6" w:rsidRDefault="00E1689C" w14:paraId="1E9D9399" w14:textId="507F0EED">
      <w:pPr>
        <w:pStyle w:val="Res-Caption"/>
        <w:numPr>
          <w:ilvl w:val="0"/>
          <w:numId w:val="55"/>
        </w:numPr>
        <w:ind w:left="1080"/>
        <w:rPr>
          <w:rFonts w:ascii="Book Antiqua" w:hAnsi="Book Antiqua" w:eastAsiaTheme="minorHAnsi" w:cstheme="minorHAnsi"/>
          <w:b/>
          <w:bCs/>
          <w:szCs w:val="26"/>
        </w:rPr>
      </w:pPr>
      <w:r w:rsidRPr="00E013FB">
        <w:rPr>
          <w:rFonts w:ascii="Book Antiqua" w:hAnsi="Book Antiqua" w:eastAsiaTheme="minorHAnsi" w:cstheme="minorHAnsi"/>
          <w:b/>
          <w:bCs/>
          <w:szCs w:val="26"/>
        </w:rPr>
        <w:lastRenderedPageBreak/>
        <w:t>Phased approach to WMP submissions and review</w:t>
      </w:r>
    </w:p>
    <w:p w:rsidRPr="00E013FB" w:rsidR="00E1689C" w:rsidP="00546EFC" w:rsidRDefault="00E1689C" w14:paraId="1E341253" w14:textId="77777777">
      <w:pPr>
        <w:pStyle w:val="Res-Caption"/>
        <w:ind w:left="0"/>
        <w:rPr>
          <w:rFonts w:ascii="Book Antiqua" w:hAnsi="Book Antiqua" w:eastAsiaTheme="minorHAnsi" w:cstheme="minorHAnsi"/>
          <w:szCs w:val="26"/>
        </w:rPr>
      </w:pPr>
    </w:p>
    <w:p w:rsidRPr="00AF2C94" w:rsidR="00910A01" w:rsidP="00AF2C94" w:rsidRDefault="00E1689C" w14:paraId="74291BF6" w14:textId="362F98B9">
      <w:pPr>
        <w:pStyle w:val="Standard"/>
      </w:pPr>
      <w:r w:rsidRPr="00E013FB">
        <w:t xml:space="preserve">The challenging task of reviewing all WMPs in a statutorily imposed 90-day period showed that </w:t>
      </w:r>
      <w:r w:rsidRPr="00E013FB" w:rsidR="001E4BCD">
        <w:t xml:space="preserve">the </w:t>
      </w:r>
      <w:r w:rsidRPr="00E013FB">
        <w:t xml:space="preserve">WSD </w:t>
      </w:r>
      <w:r w:rsidRPr="00E013FB" w:rsidR="004D6831">
        <w:t xml:space="preserve">and stakeholders </w:t>
      </w:r>
      <w:r w:rsidRPr="00E013FB">
        <w:t xml:space="preserve">need additional time and resources to properly evaluate each WMP. The data request process also proved difficult for both </w:t>
      </w:r>
      <w:r w:rsidRPr="00E013FB" w:rsidR="001E4BCD">
        <w:t xml:space="preserve">the </w:t>
      </w:r>
      <w:r w:rsidRPr="00E013FB">
        <w:t xml:space="preserve">WSD and </w:t>
      </w:r>
      <w:r w:rsidRPr="00E013FB" w:rsidR="00910A01">
        <w:t>electrical corporations</w:t>
      </w:r>
      <w:r w:rsidRPr="00E013FB">
        <w:t xml:space="preserve"> and </w:t>
      </w:r>
      <w:r w:rsidRPr="00E013FB" w:rsidR="00910A01">
        <w:t xml:space="preserve">impinged on the 90-day review period.  </w:t>
      </w:r>
    </w:p>
    <w:p w:rsidRPr="00AF2C94" w:rsidR="00E1689C" w:rsidP="00AF2C94" w:rsidRDefault="00E1689C" w14:paraId="35802D7F" w14:textId="5B02C92C">
      <w:pPr>
        <w:pStyle w:val="Standard"/>
      </w:pPr>
      <w:r w:rsidRPr="00E013FB">
        <w:t>For the 2021 WMP cycle, it is important to implement key changes to reduce constraints on the process. The 2021 WMP timeline will follow a modified approach, in which large utilities and SMJUs</w:t>
      </w:r>
      <w:r w:rsidRPr="00E013FB" w:rsidR="0073519E">
        <w:t>/ITOs</w:t>
      </w:r>
      <w:r w:rsidRPr="00E013FB">
        <w:t xml:space="preserve"> submit WMPs one month apart. This phased approach will allow </w:t>
      </w:r>
      <w:r w:rsidRPr="00E013FB" w:rsidR="001E4BCD">
        <w:t xml:space="preserve">the </w:t>
      </w:r>
      <w:r w:rsidRPr="00E013FB">
        <w:t xml:space="preserve">WSD more time to review each WMP, and smaller IOUs more time to prepare their WMPs. </w:t>
      </w:r>
    </w:p>
    <w:p w:rsidRPr="00E013FB" w:rsidR="00E1689C" w:rsidP="003923D6" w:rsidRDefault="00E1689C" w14:paraId="115E3D14" w14:textId="17249E32">
      <w:pPr>
        <w:pStyle w:val="Res-Caption"/>
        <w:numPr>
          <w:ilvl w:val="0"/>
          <w:numId w:val="55"/>
        </w:numPr>
        <w:ind w:left="1080"/>
        <w:rPr>
          <w:rFonts w:ascii="Book Antiqua" w:hAnsi="Book Antiqua" w:cstheme="minorHAnsi"/>
          <w:b/>
          <w:bCs/>
          <w:szCs w:val="26"/>
        </w:rPr>
      </w:pPr>
      <w:r w:rsidRPr="00E013FB">
        <w:rPr>
          <w:rFonts w:ascii="Book Antiqua" w:hAnsi="Book Antiqua" w:cstheme="minorHAnsi"/>
          <w:b/>
          <w:bCs/>
          <w:szCs w:val="26"/>
        </w:rPr>
        <w:t>Quarterly Report data submission supplants some annual requirements</w:t>
      </w:r>
    </w:p>
    <w:p w:rsidRPr="00E013FB" w:rsidR="00E1689C" w:rsidP="00546EFC" w:rsidRDefault="00E1689C" w14:paraId="473833D0" w14:textId="77777777">
      <w:pPr>
        <w:pStyle w:val="Res-Caption"/>
        <w:ind w:left="0"/>
        <w:rPr>
          <w:rFonts w:ascii="Book Antiqua" w:hAnsi="Book Antiqua" w:cstheme="minorHAnsi"/>
          <w:szCs w:val="26"/>
        </w:rPr>
      </w:pPr>
    </w:p>
    <w:p w:rsidRPr="00AF2C94" w:rsidR="00E1689C" w:rsidP="00AF2C94" w:rsidRDefault="00C97643" w14:paraId="052E185E" w14:textId="14EC8044">
      <w:pPr>
        <w:pStyle w:val="Standard"/>
      </w:pPr>
      <w:r w:rsidRPr="00E013FB">
        <w:t>An</w:t>
      </w:r>
      <w:r w:rsidRPr="00E013FB" w:rsidR="00E1689C">
        <w:t xml:space="preserve"> annual data submission process is not ideal for utilities</w:t>
      </w:r>
      <w:r w:rsidRPr="00E013FB" w:rsidR="0093511F">
        <w:t xml:space="preserve">, the </w:t>
      </w:r>
      <w:r w:rsidRPr="00E013FB" w:rsidR="00E1689C">
        <w:t>WSD</w:t>
      </w:r>
      <w:r w:rsidRPr="00E013FB" w:rsidR="0093511F">
        <w:t>, or stakeholders</w:t>
      </w:r>
      <w:r w:rsidRPr="00E013FB" w:rsidR="00910A01">
        <w:t>.  I</w:t>
      </w:r>
      <w:r w:rsidRPr="00E013FB" w:rsidR="00E1689C">
        <w:t xml:space="preserve">t is challenging for utilities to provide complete data along with the WMP narrative within the </w:t>
      </w:r>
      <w:r w:rsidRPr="00E013FB" w:rsidR="0093511F">
        <w:t>two</w:t>
      </w:r>
      <w:r w:rsidRPr="00E013FB" w:rsidR="00E1689C">
        <w:t>-month WMP preparation window.</w:t>
      </w:r>
      <w:r w:rsidRPr="00E013FB" w:rsidR="0093511F">
        <w:rPr>
          <w:rStyle w:val="FootnoteReference"/>
          <w:rFonts w:cstheme="minorHAnsi"/>
          <w:szCs w:val="26"/>
        </w:rPr>
        <w:footnoteReference w:id="8"/>
      </w:r>
      <w:r w:rsidRPr="00E013FB" w:rsidR="00E1689C">
        <w:t xml:space="preserve"> </w:t>
      </w:r>
      <w:r w:rsidRPr="00E013FB" w:rsidR="00910A01">
        <w:t xml:space="preserve"> </w:t>
      </w:r>
      <w:r w:rsidRPr="00E013FB" w:rsidR="00E1689C">
        <w:t xml:space="preserve">For </w:t>
      </w:r>
      <w:r w:rsidRPr="00E013FB" w:rsidR="009A6F96">
        <w:t xml:space="preserve">the </w:t>
      </w:r>
      <w:r w:rsidRPr="00E013FB" w:rsidR="00E1689C">
        <w:t>WSD</w:t>
      </w:r>
      <w:r w:rsidRPr="00E013FB" w:rsidR="009A6F96">
        <w:t xml:space="preserve"> and stakeholders</w:t>
      </w:r>
      <w:r w:rsidRPr="00E013FB" w:rsidR="00E1689C">
        <w:t xml:space="preserve">, annual data </w:t>
      </w:r>
      <w:r w:rsidRPr="00E013FB" w:rsidR="00AA196B">
        <w:t xml:space="preserve">is </w:t>
      </w:r>
      <w:r w:rsidRPr="00E013FB" w:rsidR="00E1689C">
        <w:t xml:space="preserve">too infrequent to </w:t>
      </w:r>
      <w:r w:rsidRPr="00E013FB" w:rsidR="009A6F96">
        <w:t xml:space="preserve">meaningfully </w:t>
      </w:r>
      <w:r w:rsidRPr="00E013FB" w:rsidR="00E1689C">
        <w:t xml:space="preserve">track utility progress, outcomes and </w:t>
      </w:r>
      <w:r w:rsidRPr="00E013FB" w:rsidR="009A6F96">
        <w:t>prepare for subsequent WMP reviews</w:t>
      </w:r>
      <w:r w:rsidRPr="00E013FB" w:rsidR="00E1689C">
        <w:t>.</w:t>
      </w:r>
    </w:p>
    <w:p w:rsidRPr="00AF2C94" w:rsidR="00E1689C" w:rsidP="00AF2C94" w:rsidRDefault="00E1689C" w14:paraId="4A980168" w14:textId="50017E07">
      <w:pPr>
        <w:pStyle w:val="Standard"/>
      </w:pPr>
      <w:r w:rsidRPr="00E013FB">
        <w:t xml:space="preserve">By replacing some data requests </w:t>
      </w:r>
      <w:r w:rsidRPr="00E013FB" w:rsidR="007C09FC">
        <w:t xml:space="preserve">to supplement </w:t>
      </w:r>
      <w:r w:rsidRPr="00E013FB" w:rsidR="00DC243A">
        <w:t xml:space="preserve">the annual WMP </w:t>
      </w:r>
      <w:r w:rsidRPr="00E013FB">
        <w:t>with data in the quarterly report</w:t>
      </w:r>
      <w:r w:rsidRPr="00E013FB" w:rsidR="00DC243A">
        <w:t>s</w:t>
      </w:r>
      <w:r w:rsidRPr="00E013FB">
        <w:t xml:space="preserve">, these problems are addressed. Quarterly reports enable </w:t>
      </w:r>
      <w:r w:rsidRPr="00E013FB" w:rsidR="001E4BCD">
        <w:t xml:space="preserve">the </w:t>
      </w:r>
      <w:r w:rsidRPr="00E013FB">
        <w:t xml:space="preserve">WSD to monitor utility data </w:t>
      </w:r>
      <w:r w:rsidRPr="00E013FB" w:rsidR="00AA196B">
        <w:t xml:space="preserve">more frequently </w:t>
      </w:r>
      <w:r w:rsidRPr="00E013FB">
        <w:t xml:space="preserve">and </w:t>
      </w:r>
      <w:r w:rsidRPr="00E013FB" w:rsidR="00AA196B">
        <w:t xml:space="preserve">shift the data review to the </w:t>
      </w:r>
      <w:r w:rsidRPr="00E013FB">
        <w:t xml:space="preserve">off-season months. </w:t>
      </w:r>
      <w:r w:rsidRPr="00E013FB" w:rsidR="00AA196B">
        <w:t xml:space="preserve"> I</w:t>
      </w:r>
      <w:r w:rsidRPr="00E013FB">
        <w:t>nsights generated from the quarterly reports reduce analysis time during annual WMP review, leading to a faster review process.</w:t>
      </w:r>
    </w:p>
    <w:p w:rsidRPr="00AF2C94" w:rsidR="001108DF" w:rsidP="00AF2C94" w:rsidRDefault="00AA196B" w14:paraId="1B99D655" w14:textId="7070AA24">
      <w:pPr>
        <w:pStyle w:val="Standard"/>
      </w:pPr>
      <w:r w:rsidRPr="00E013FB">
        <w:t>T</w:t>
      </w:r>
      <w:r w:rsidRPr="00E013FB" w:rsidR="00E1689C">
        <w:t>he quarterly report</w:t>
      </w:r>
      <w:r w:rsidRPr="00E013FB">
        <w:t xml:space="preserve"> structure is not identical to the WMP </w:t>
      </w:r>
      <w:r w:rsidRPr="00E013FB" w:rsidR="00E1689C">
        <w:t>data requirements</w:t>
      </w:r>
      <w:r w:rsidRPr="00E013FB">
        <w:t xml:space="preserve">.  Therefore, </w:t>
      </w:r>
      <w:r w:rsidRPr="00E013FB" w:rsidR="00411F66">
        <w:t xml:space="preserve">for 2021, </w:t>
      </w:r>
      <w:r w:rsidRPr="00E013FB">
        <w:t>a</w:t>
      </w:r>
      <w:r w:rsidRPr="00E013FB" w:rsidR="00E1689C">
        <w:t xml:space="preserve">ll annual data requirements </w:t>
      </w:r>
      <w:r w:rsidRPr="00E013FB">
        <w:t xml:space="preserve">are moved </w:t>
      </w:r>
      <w:r w:rsidRPr="00E013FB" w:rsidR="00E1689C">
        <w:t>into the quarterly report (spatial and non-spatial)</w:t>
      </w:r>
      <w:r w:rsidRPr="00E013FB">
        <w:t xml:space="preserve"> format</w:t>
      </w:r>
      <w:r w:rsidRPr="00E013FB" w:rsidR="00E1689C">
        <w:t xml:space="preserve">, and data requirements </w:t>
      </w:r>
      <w:r w:rsidRPr="00E013FB" w:rsidR="00151658">
        <w:t xml:space="preserve">are </w:t>
      </w:r>
      <w:r w:rsidRPr="00E013FB" w:rsidR="00E1689C">
        <w:t>removed from the annual WMP.</w:t>
      </w:r>
      <w:r w:rsidR="00882BCC">
        <w:t xml:space="preserve"> This reporting schedule replaces that adopted in Resolution WSD-002. 2020 Class B deficiencies and conditions requiring ongoing reporting are still required and will be submitted alongside the new quarterly data submissions</w:t>
      </w:r>
      <w:r w:rsidR="00CD35BC">
        <w:t xml:space="preserve"> according to the schedule adopted herein</w:t>
      </w:r>
      <w:r w:rsidR="00882BCC">
        <w:t xml:space="preserve">, rather than according to </w:t>
      </w:r>
      <w:r w:rsidR="00882BCC">
        <w:lastRenderedPageBreak/>
        <w:t>the schedule adopted in Resolution WSD-002</w:t>
      </w:r>
      <w:r w:rsidR="00CD35BC">
        <w:t>.</w:t>
      </w:r>
      <w:r w:rsidRPr="00E013FB" w:rsidR="00E1689C">
        <w:t xml:space="preserve">The insights generated from quarterly reports </w:t>
      </w:r>
      <w:r w:rsidRPr="00E013FB">
        <w:t xml:space="preserve">should </w:t>
      </w:r>
      <w:r w:rsidRPr="00E013FB" w:rsidR="00E1689C">
        <w:t xml:space="preserve">reduce analysis time during the annual WMP review, leading to a faster and higher quality review process. </w:t>
      </w:r>
      <w:r w:rsidRPr="00E013FB" w:rsidR="00151658">
        <w:t>The WSD may modify the quarterly report schedule or cadence as deemed necessary via written notice to stakeholders.</w:t>
      </w:r>
    </w:p>
    <w:p w:rsidRPr="00E013FB" w:rsidR="001108DF" w:rsidP="003923D6" w:rsidRDefault="001108DF" w14:paraId="25BEA834" w14:textId="66091329">
      <w:pPr>
        <w:pStyle w:val="Res-Caption"/>
        <w:numPr>
          <w:ilvl w:val="0"/>
          <w:numId w:val="55"/>
        </w:numPr>
        <w:ind w:left="1080"/>
        <w:rPr>
          <w:rFonts w:ascii="Book Antiqua" w:hAnsi="Book Antiqua" w:cstheme="minorHAnsi"/>
          <w:b/>
          <w:bCs/>
          <w:szCs w:val="26"/>
        </w:rPr>
      </w:pPr>
      <w:r w:rsidRPr="00E013FB">
        <w:rPr>
          <w:rFonts w:ascii="Book Antiqua" w:hAnsi="Book Antiqua" w:cstheme="minorHAnsi"/>
          <w:b/>
          <w:bCs/>
          <w:szCs w:val="26"/>
        </w:rPr>
        <w:t>2021 Filing and Action Timetable</w:t>
      </w:r>
    </w:p>
    <w:p w:rsidRPr="00E013FB" w:rsidR="00AC582A" w:rsidP="00546EFC" w:rsidRDefault="00AC582A" w14:paraId="4D8AB5AF" w14:textId="77777777">
      <w:pPr>
        <w:pStyle w:val="Res-Caption"/>
        <w:ind w:left="0"/>
        <w:rPr>
          <w:rFonts w:ascii="Book Antiqua" w:hAnsi="Book Antiqua" w:eastAsiaTheme="minorHAnsi" w:cstheme="minorHAnsi"/>
          <w:szCs w:val="26"/>
        </w:rPr>
      </w:pPr>
    </w:p>
    <w:p w:rsidRPr="00AF2C94" w:rsidR="00546EFC" w:rsidP="00AF2C94" w:rsidRDefault="00AC582A" w14:paraId="1EA98FE5" w14:textId="6F18DF44">
      <w:pPr>
        <w:pStyle w:val="Standard"/>
      </w:pPr>
      <w:r w:rsidRPr="00E013FB">
        <w:t>T</w:t>
      </w:r>
      <w:r w:rsidRPr="00E013FB" w:rsidR="001108DF">
        <w:t xml:space="preserve">he 2021 WMP timeline will follow a modified approach, in which large utilities and SMJUs/ITOs will submit WMPs one month apart. This phased approach will allow </w:t>
      </w:r>
      <w:r w:rsidRPr="00E013FB" w:rsidR="001E4BCD">
        <w:t xml:space="preserve">the </w:t>
      </w:r>
      <w:r w:rsidRPr="00E013FB" w:rsidR="001108DF">
        <w:t xml:space="preserve">WSD more time to review each WMP, and smaller IOUs more time to prepare their WMPs. </w:t>
      </w:r>
      <w:r w:rsidRPr="00E013FB">
        <w:t xml:space="preserve"> The WSD may modify the 2021 WMP schedule as deemed necessary via written notice to stakeholders subject to the statutory parameters set forth in § 8386(b).</w:t>
      </w:r>
      <w:r w:rsidRPr="00E013FB">
        <w:rPr>
          <w:rStyle w:val="FootnoteReference"/>
          <w:rFonts w:cstheme="minorHAnsi"/>
          <w:szCs w:val="26"/>
        </w:rPr>
        <w:footnoteReference w:id="9"/>
      </w:r>
      <w:r w:rsidRPr="00E013FB">
        <w:t xml:space="preserve"> </w:t>
      </w:r>
    </w:p>
    <w:p w:rsidRPr="00E013FB" w:rsidR="00F05636" w:rsidP="00DC243A" w:rsidRDefault="00903354" w14:paraId="113AFA86" w14:textId="3AD0740E">
      <w:pPr>
        <w:pStyle w:val="Res-Caption"/>
        <w:spacing w:after="120"/>
        <w:ind w:left="0"/>
        <w:rPr>
          <w:rFonts w:ascii="Book Antiqua" w:hAnsi="Book Antiqua" w:cstheme="minorHAnsi"/>
          <w:b/>
          <w:bCs/>
          <w:szCs w:val="26"/>
        </w:rPr>
      </w:pPr>
      <w:r w:rsidRPr="00E013FB">
        <w:rPr>
          <w:rFonts w:ascii="Book Antiqua" w:hAnsi="Book Antiqua" w:cstheme="minorHAnsi"/>
          <w:b/>
          <w:bCs/>
          <w:szCs w:val="26"/>
        </w:rPr>
        <w:t xml:space="preserve">Table </w:t>
      </w:r>
      <w:r w:rsidRPr="00E013FB" w:rsidR="00433A26">
        <w:rPr>
          <w:rFonts w:ascii="Book Antiqua" w:hAnsi="Book Antiqua" w:cstheme="minorHAnsi"/>
          <w:b/>
          <w:bCs/>
          <w:szCs w:val="26"/>
        </w:rPr>
        <w:t>2</w:t>
      </w:r>
      <w:r w:rsidRPr="00E013FB">
        <w:rPr>
          <w:rFonts w:ascii="Book Antiqua" w:hAnsi="Book Antiqua" w:cstheme="minorHAnsi"/>
          <w:b/>
          <w:bCs/>
          <w:szCs w:val="26"/>
        </w:rPr>
        <w:t>: 2021 WMP Cycle Timeline for PG&amp;E, SCE and SDG&amp;E</w:t>
      </w:r>
    </w:p>
    <w:tbl>
      <w:tblPr>
        <w:tblStyle w:val="TableGrid"/>
        <w:tblW w:w="0" w:type="auto"/>
        <w:jc w:val="center"/>
        <w:tblLook w:val="04A0" w:firstRow="1" w:lastRow="0" w:firstColumn="1" w:lastColumn="0" w:noHBand="0" w:noVBand="1"/>
      </w:tblPr>
      <w:tblGrid>
        <w:gridCol w:w="2875"/>
        <w:gridCol w:w="6475"/>
      </w:tblGrid>
      <w:tr w:rsidRPr="00E013FB" w:rsidR="00903354" w:rsidTr="00546EFC" w14:paraId="437FEF1B" w14:textId="77777777">
        <w:trPr>
          <w:jc w:val="center"/>
        </w:trPr>
        <w:tc>
          <w:tcPr>
            <w:tcW w:w="2875" w:type="dxa"/>
            <w:shd w:val="clear" w:color="auto" w:fill="E7E6E6" w:themeFill="background2"/>
          </w:tcPr>
          <w:p w:rsidRPr="00E013FB" w:rsidR="00903354" w:rsidP="00E1689C" w:rsidRDefault="00903354" w14:paraId="43C6C4A6" w14:textId="0BDD9528">
            <w:pPr>
              <w:pStyle w:val="Res-Caption"/>
              <w:ind w:left="0"/>
              <w:rPr>
                <w:rFonts w:ascii="Book Antiqua" w:hAnsi="Book Antiqua" w:cstheme="minorHAnsi"/>
                <w:b/>
                <w:bCs/>
                <w:szCs w:val="26"/>
              </w:rPr>
            </w:pPr>
            <w:r w:rsidRPr="00E013FB">
              <w:rPr>
                <w:rFonts w:ascii="Book Antiqua" w:hAnsi="Book Antiqua" w:cstheme="minorHAnsi"/>
                <w:b/>
                <w:bCs/>
                <w:szCs w:val="26"/>
              </w:rPr>
              <w:t>Date</w:t>
            </w:r>
          </w:p>
        </w:tc>
        <w:tc>
          <w:tcPr>
            <w:tcW w:w="6475" w:type="dxa"/>
            <w:shd w:val="clear" w:color="auto" w:fill="E7E6E6" w:themeFill="background2"/>
          </w:tcPr>
          <w:p w:rsidRPr="00E013FB" w:rsidR="00903354" w:rsidP="00E1689C" w:rsidRDefault="00903354" w14:paraId="3B72F078" w14:textId="4273C5DB">
            <w:pPr>
              <w:pStyle w:val="Res-Caption"/>
              <w:ind w:left="0"/>
              <w:rPr>
                <w:rFonts w:ascii="Book Antiqua" w:hAnsi="Book Antiqua" w:cstheme="minorHAnsi"/>
                <w:b/>
                <w:bCs/>
                <w:szCs w:val="26"/>
              </w:rPr>
            </w:pPr>
            <w:r w:rsidRPr="00E013FB">
              <w:rPr>
                <w:rFonts w:ascii="Book Antiqua" w:hAnsi="Book Antiqua" w:cstheme="minorHAnsi"/>
                <w:b/>
                <w:bCs/>
                <w:szCs w:val="26"/>
              </w:rPr>
              <w:t>Action</w:t>
            </w:r>
          </w:p>
        </w:tc>
      </w:tr>
      <w:tr w:rsidRPr="00E013FB" w:rsidR="00903354" w:rsidTr="00546EFC" w14:paraId="4841120F" w14:textId="77777777">
        <w:trPr>
          <w:jc w:val="center"/>
        </w:trPr>
        <w:tc>
          <w:tcPr>
            <w:tcW w:w="2875" w:type="dxa"/>
          </w:tcPr>
          <w:p w:rsidRPr="00E013FB" w:rsidR="00903354" w:rsidP="00E1689C" w:rsidRDefault="00903354" w14:paraId="542DB35B" w14:textId="4443C43F">
            <w:pPr>
              <w:pStyle w:val="Res-Caption"/>
              <w:ind w:left="0"/>
              <w:rPr>
                <w:rFonts w:ascii="Book Antiqua" w:hAnsi="Book Antiqua" w:cstheme="minorHAnsi"/>
                <w:szCs w:val="26"/>
              </w:rPr>
            </w:pPr>
            <w:r w:rsidRPr="00E013FB">
              <w:rPr>
                <w:rFonts w:ascii="Book Antiqua" w:hAnsi="Book Antiqua" w:cstheme="minorHAnsi"/>
                <w:szCs w:val="26"/>
              </w:rPr>
              <w:t>February 5, 2021</w:t>
            </w:r>
          </w:p>
        </w:tc>
        <w:tc>
          <w:tcPr>
            <w:tcW w:w="6475" w:type="dxa"/>
          </w:tcPr>
          <w:p w:rsidRPr="00E013FB" w:rsidR="00903354" w:rsidP="00E1689C" w:rsidRDefault="00903354" w14:paraId="78469EA5" w14:textId="6187575B">
            <w:pPr>
              <w:pStyle w:val="Res-Caption"/>
              <w:ind w:left="0"/>
              <w:rPr>
                <w:rFonts w:ascii="Book Antiqua" w:hAnsi="Book Antiqua" w:cstheme="minorHAnsi"/>
                <w:szCs w:val="26"/>
              </w:rPr>
            </w:pPr>
            <w:r w:rsidRPr="00E013FB">
              <w:rPr>
                <w:rFonts w:ascii="Book Antiqua" w:hAnsi="Book Antiqua" w:cstheme="minorHAnsi"/>
                <w:szCs w:val="26"/>
              </w:rPr>
              <w:t>WMP submission deadline for large IOUs</w:t>
            </w:r>
          </w:p>
        </w:tc>
      </w:tr>
      <w:tr w:rsidRPr="00E013FB" w:rsidR="00903354" w:rsidTr="00546EFC" w14:paraId="5D4A4818" w14:textId="77777777">
        <w:trPr>
          <w:jc w:val="center"/>
        </w:trPr>
        <w:tc>
          <w:tcPr>
            <w:tcW w:w="2875" w:type="dxa"/>
          </w:tcPr>
          <w:p w:rsidRPr="00E013FB" w:rsidR="00903354" w:rsidP="00E1689C" w:rsidRDefault="00882BCC" w14:paraId="035E9581" w14:textId="2D3C0DBB">
            <w:pPr>
              <w:pStyle w:val="Res-Caption"/>
              <w:ind w:left="0"/>
              <w:rPr>
                <w:rFonts w:ascii="Book Antiqua" w:hAnsi="Book Antiqua" w:cstheme="minorHAnsi"/>
                <w:szCs w:val="26"/>
              </w:rPr>
            </w:pPr>
            <w:r>
              <w:rPr>
                <w:rFonts w:ascii="Book Antiqua" w:hAnsi="Book Antiqua" w:cstheme="minorHAnsi"/>
                <w:szCs w:val="26"/>
              </w:rPr>
              <w:t>February 23-24</w:t>
            </w:r>
            <w:r w:rsidRPr="00E013FB" w:rsidR="00903354">
              <w:rPr>
                <w:rFonts w:ascii="Book Antiqua" w:hAnsi="Book Antiqua" w:cstheme="minorHAnsi"/>
                <w:szCs w:val="26"/>
              </w:rPr>
              <w:t>, 2021</w:t>
            </w:r>
          </w:p>
        </w:tc>
        <w:tc>
          <w:tcPr>
            <w:tcW w:w="6475" w:type="dxa"/>
          </w:tcPr>
          <w:p w:rsidRPr="00E013FB" w:rsidR="00903354" w:rsidP="00E1689C" w:rsidRDefault="00903354" w14:paraId="5E9A3759" w14:textId="0206B4AB">
            <w:pPr>
              <w:pStyle w:val="Res-Caption"/>
              <w:ind w:left="0"/>
              <w:rPr>
                <w:rFonts w:ascii="Book Antiqua" w:hAnsi="Book Antiqua" w:cstheme="minorHAnsi"/>
                <w:szCs w:val="26"/>
              </w:rPr>
            </w:pPr>
            <w:r w:rsidRPr="00E013FB">
              <w:rPr>
                <w:rFonts w:ascii="Book Antiqua" w:hAnsi="Book Antiqua" w:cstheme="minorHAnsi"/>
                <w:szCs w:val="26"/>
              </w:rPr>
              <w:t xml:space="preserve">WSD Workshops for </w:t>
            </w:r>
            <w:r w:rsidR="00106084">
              <w:rPr>
                <w:rFonts w:ascii="Book Antiqua" w:hAnsi="Book Antiqua" w:cstheme="minorHAnsi"/>
                <w:szCs w:val="26"/>
              </w:rPr>
              <w:t xml:space="preserve">large </w:t>
            </w:r>
            <w:r w:rsidRPr="00E013FB">
              <w:rPr>
                <w:rFonts w:ascii="Book Antiqua" w:hAnsi="Book Antiqua" w:cstheme="minorHAnsi"/>
                <w:szCs w:val="26"/>
              </w:rPr>
              <w:t>IOUs</w:t>
            </w:r>
          </w:p>
        </w:tc>
      </w:tr>
      <w:tr w:rsidRPr="00E013FB" w:rsidR="00903354" w:rsidTr="00546EFC" w14:paraId="38AF61BA" w14:textId="77777777">
        <w:trPr>
          <w:jc w:val="center"/>
        </w:trPr>
        <w:tc>
          <w:tcPr>
            <w:tcW w:w="2875" w:type="dxa"/>
          </w:tcPr>
          <w:p w:rsidRPr="00E013FB" w:rsidR="00903354" w:rsidP="00E1689C" w:rsidRDefault="00903354" w14:paraId="05BC96BE" w14:textId="33095185">
            <w:pPr>
              <w:pStyle w:val="Res-Caption"/>
              <w:ind w:left="0"/>
              <w:rPr>
                <w:rFonts w:ascii="Book Antiqua" w:hAnsi="Book Antiqua" w:cstheme="minorHAnsi"/>
                <w:szCs w:val="26"/>
              </w:rPr>
            </w:pPr>
            <w:r w:rsidRPr="00E013FB">
              <w:rPr>
                <w:rFonts w:ascii="Book Antiqua" w:hAnsi="Book Antiqua" w:cstheme="minorHAnsi"/>
                <w:szCs w:val="26"/>
              </w:rPr>
              <w:t>March 17, 2021</w:t>
            </w:r>
          </w:p>
        </w:tc>
        <w:tc>
          <w:tcPr>
            <w:tcW w:w="6475" w:type="dxa"/>
          </w:tcPr>
          <w:p w:rsidRPr="00E013FB" w:rsidR="00903354" w:rsidP="00E1689C" w:rsidRDefault="00903354" w14:paraId="2EEF9838" w14:textId="7DDCBF5E">
            <w:pPr>
              <w:pStyle w:val="Res-Caption"/>
              <w:ind w:left="0"/>
              <w:rPr>
                <w:rFonts w:ascii="Book Antiqua" w:hAnsi="Book Antiqua" w:cstheme="minorHAnsi"/>
                <w:szCs w:val="26"/>
              </w:rPr>
            </w:pPr>
            <w:r w:rsidRPr="00E013FB">
              <w:rPr>
                <w:rFonts w:ascii="Book Antiqua" w:hAnsi="Book Antiqua" w:cstheme="minorHAnsi"/>
                <w:szCs w:val="26"/>
              </w:rPr>
              <w:t>Public Comment</w:t>
            </w:r>
            <w:r w:rsidRPr="00E013FB" w:rsidR="001108DF">
              <w:rPr>
                <w:rFonts w:ascii="Book Antiqua" w:hAnsi="Book Antiqua" w:cstheme="minorHAnsi"/>
                <w:szCs w:val="26"/>
              </w:rPr>
              <w:t>s due</w:t>
            </w:r>
            <w:r w:rsidRPr="00E013FB">
              <w:rPr>
                <w:rFonts w:ascii="Book Antiqua" w:hAnsi="Book Antiqua" w:cstheme="minorHAnsi"/>
                <w:szCs w:val="26"/>
              </w:rPr>
              <w:t xml:space="preserve"> for large IOU WMPs</w:t>
            </w:r>
          </w:p>
        </w:tc>
      </w:tr>
      <w:tr w:rsidRPr="00E013FB" w:rsidR="00903354" w:rsidTr="00546EFC" w14:paraId="1E4ABB2A" w14:textId="77777777">
        <w:trPr>
          <w:jc w:val="center"/>
        </w:trPr>
        <w:tc>
          <w:tcPr>
            <w:tcW w:w="2875" w:type="dxa"/>
          </w:tcPr>
          <w:p w:rsidRPr="00E013FB" w:rsidR="00903354" w:rsidP="00E1689C" w:rsidRDefault="001108DF" w14:paraId="3B44FE0D" w14:textId="07892354">
            <w:pPr>
              <w:pStyle w:val="Res-Caption"/>
              <w:ind w:left="0"/>
              <w:rPr>
                <w:rFonts w:ascii="Book Antiqua" w:hAnsi="Book Antiqua" w:cstheme="minorHAnsi"/>
                <w:szCs w:val="26"/>
              </w:rPr>
            </w:pPr>
            <w:r w:rsidRPr="00E013FB">
              <w:rPr>
                <w:rFonts w:ascii="Book Antiqua" w:hAnsi="Book Antiqua" w:cstheme="minorHAnsi"/>
                <w:szCs w:val="26"/>
              </w:rPr>
              <w:t>March 24, 2021</w:t>
            </w:r>
          </w:p>
        </w:tc>
        <w:tc>
          <w:tcPr>
            <w:tcW w:w="6475" w:type="dxa"/>
          </w:tcPr>
          <w:p w:rsidRPr="00E013FB" w:rsidR="00903354" w:rsidP="00E1689C" w:rsidRDefault="001108DF" w14:paraId="60D31EA0" w14:textId="73E79313">
            <w:pPr>
              <w:pStyle w:val="Res-Caption"/>
              <w:ind w:left="0"/>
              <w:rPr>
                <w:rFonts w:ascii="Book Antiqua" w:hAnsi="Book Antiqua" w:cstheme="minorHAnsi"/>
                <w:szCs w:val="26"/>
              </w:rPr>
            </w:pPr>
            <w:r w:rsidRPr="00E013FB">
              <w:rPr>
                <w:rFonts w:ascii="Book Antiqua" w:hAnsi="Book Antiqua" w:cstheme="minorHAnsi"/>
                <w:szCs w:val="26"/>
              </w:rPr>
              <w:t xml:space="preserve">Reply </w:t>
            </w:r>
            <w:r w:rsidR="00882BCC">
              <w:rPr>
                <w:rFonts w:ascii="Book Antiqua" w:hAnsi="Book Antiqua" w:cstheme="minorHAnsi"/>
                <w:szCs w:val="26"/>
              </w:rPr>
              <w:t>C</w:t>
            </w:r>
            <w:r w:rsidRPr="00E013FB">
              <w:rPr>
                <w:rFonts w:ascii="Book Antiqua" w:hAnsi="Book Antiqua" w:cstheme="minorHAnsi"/>
                <w:szCs w:val="26"/>
              </w:rPr>
              <w:t>omments due</w:t>
            </w:r>
            <w:r w:rsidR="00882BCC">
              <w:rPr>
                <w:rFonts w:ascii="Book Antiqua" w:hAnsi="Book Antiqua" w:cstheme="minorHAnsi"/>
                <w:szCs w:val="26"/>
              </w:rPr>
              <w:t xml:space="preserve"> for large IOU WMPs</w:t>
            </w:r>
            <w:r w:rsidR="00882BCC">
              <w:rPr>
                <w:rStyle w:val="FootnoteReference"/>
                <w:rFonts w:ascii="Book Antiqua" w:hAnsi="Book Antiqua" w:cstheme="minorHAnsi"/>
                <w:szCs w:val="26"/>
              </w:rPr>
              <w:footnoteReference w:id="10"/>
            </w:r>
          </w:p>
        </w:tc>
      </w:tr>
      <w:tr w:rsidRPr="00E013FB" w:rsidR="00903354" w:rsidTr="00546EFC" w14:paraId="5E45D8AB" w14:textId="77777777">
        <w:trPr>
          <w:jc w:val="center"/>
        </w:trPr>
        <w:tc>
          <w:tcPr>
            <w:tcW w:w="2875" w:type="dxa"/>
          </w:tcPr>
          <w:p w:rsidRPr="00E013FB" w:rsidR="00903354" w:rsidP="00E1689C" w:rsidRDefault="001108DF" w14:paraId="33FB0856" w14:textId="3EAF0C7B">
            <w:pPr>
              <w:pStyle w:val="Res-Caption"/>
              <w:ind w:left="0"/>
              <w:rPr>
                <w:rFonts w:ascii="Book Antiqua" w:hAnsi="Book Antiqua" w:cstheme="minorHAnsi"/>
                <w:szCs w:val="26"/>
              </w:rPr>
            </w:pPr>
            <w:r w:rsidRPr="00E013FB">
              <w:rPr>
                <w:rFonts w:ascii="Book Antiqua" w:hAnsi="Book Antiqua" w:cstheme="minorHAnsi"/>
                <w:szCs w:val="26"/>
              </w:rPr>
              <w:t>May 2021</w:t>
            </w:r>
          </w:p>
        </w:tc>
        <w:tc>
          <w:tcPr>
            <w:tcW w:w="6475" w:type="dxa"/>
          </w:tcPr>
          <w:p w:rsidRPr="00E013FB" w:rsidR="00903354" w:rsidP="00E1689C" w:rsidRDefault="001108DF" w14:paraId="407B890F" w14:textId="0CC212BB">
            <w:pPr>
              <w:pStyle w:val="Res-Caption"/>
              <w:ind w:left="0"/>
              <w:rPr>
                <w:rFonts w:ascii="Book Antiqua" w:hAnsi="Book Antiqua" w:cstheme="minorHAnsi"/>
                <w:szCs w:val="26"/>
              </w:rPr>
            </w:pPr>
            <w:r w:rsidRPr="00E013FB">
              <w:rPr>
                <w:rFonts w:ascii="Book Antiqua" w:hAnsi="Book Antiqua" w:cstheme="minorHAnsi"/>
                <w:szCs w:val="26"/>
              </w:rPr>
              <w:t>WSD published draft resolution(s)</w:t>
            </w:r>
            <w:r w:rsidRPr="00E013FB" w:rsidR="00B5350D">
              <w:rPr>
                <w:rFonts w:ascii="Book Antiqua" w:hAnsi="Book Antiqua" w:cstheme="minorHAnsi"/>
                <w:szCs w:val="26"/>
              </w:rPr>
              <w:t xml:space="preserve"> and action statements</w:t>
            </w:r>
            <w:r w:rsidRPr="00E013FB">
              <w:rPr>
                <w:rFonts w:ascii="Book Antiqua" w:hAnsi="Book Antiqua" w:cstheme="minorHAnsi"/>
                <w:szCs w:val="26"/>
              </w:rPr>
              <w:t xml:space="preserve"> for large IOU WMPs</w:t>
            </w:r>
          </w:p>
        </w:tc>
      </w:tr>
      <w:tr w:rsidRPr="00E013FB" w:rsidR="00903354" w:rsidTr="00546EFC" w14:paraId="7AD6E3D6" w14:textId="77777777">
        <w:trPr>
          <w:jc w:val="center"/>
        </w:trPr>
        <w:tc>
          <w:tcPr>
            <w:tcW w:w="2875" w:type="dxa"/>
          </w:tcPr>
          <w:p w:rsidRPr="00E013FB" w:rsidR="00903354" w:rsidP="00E1689C" w:rsidRDefault="001108DF" w14:paraId="3895F841" w14:textId="1351E7DF">
            <w:pPr>
              <w:pStyle w:val="Res-Caption"/>
              <w:ind w:left="0"/>
              <w:rPr>
                <w:rFonts w:ascii="Book Antiqua" w:hAnsi="Book Antiqua" w:cstheme="minorHAnsi"/>
                <w:szCs w:val="26"/>
              </w:rPr>
            </w:pPr>
            <w:r w:rsidRPr="00E013FB">
              <w:rPr>
                <w:rFonts w:ascii="Book Antiqua" w:hAnsi="Book Antiqua" w:cstheme="minorHAnsi"/>
                <w:szCs w:val="26"/>
              </w:rPr>
              <w:t>June 2021</w:t>
            </w:r>
          </w:p>
        </w:tc>
        <w:tc>
          <w:tcPr>
            <w:tcW w:w="6475" w:type="dxa"/>
          </w:tcPr>
          <w:p w:rsidRPr="00E013FB" w:rsidR="00903354" w:rsidP="00E1689C" w:rsidRDefault="00151658" w14:paraId="6C61B12C" w14:textId="09E3A2DF">
            <w:pPr>
              <w:pStyle w:val="Res-Caption"/>
              <w:ind w:left="0"/>
              <w:rPr>
                <w:rFonts w:ascii="Book Antiqua" w:hAnsi="Book Antiqua" w:cstheme="minorHAnsi"/>
                <w:szCs w:val="26"/>
              </w:rPr>
            </w:pPr>
            <w:r w:rsidRPr="00E013FB">
              <w:rPr>
                <w:rFonts w:ascii="Book Antiqua" w:hAnsi="Book Antiqua" w:cstheme="minorHAnsi"/>
                <w:szCs w:val="26"/>
              </w:rPr>
              <w:t>Earliest date C</w:t>
            </w:r>
            <w:r w:rsidRPr="00E013FB" w:rsidR="001108DF">
              <w:rPr>
                <w:rFonts w:ascii="Book Antiqua" w:hAnsi="Book Antiqua" w:cstheme="minorHAnsi"/>
                <w:szCs w:val="26"/>
              </w:rPr>
              <w:t>ommission</w:t>
            </w:r>
            <w:r w:rsidRPr="00E013FB">
              <w:rPr>
                <w:rFonts w:ascii="Book Antiqua" w:hAnsi="Book Antiqua" w:cstheme="minorHAnsi"/>
                <w:szCs w:val="26"/>
              </w:rPr>
              <w:t xml:space="preserve"> may</w:t>
            </w:r>
            <w:r w:rsidRPr="00E013FB" w:rsidR="001108DF">
              <w:rPr>
                <w:rFonts w:ascii="Book Antiqua" w:hAnsi="Book Antiqua" w:cstheme="minorHAnsi"/>
                <w:szCs w:val="26"/>
              </w:rPr>
              <w:t xml:space="preserve"> ratif</w:t>
            </w:r>
            <w:r w:rsidRPr="00E013FB">
              <w:rPr>
                <w:rFonts w:ascii="Book Antiqua" w:hAnsi="Book Antiqua" w:cstheme="minorHAnsi"/>
                <w:szCs w:val="26"/>
              </w:rPr>
              <w:t>y</w:t>
            </w:r>
            <w:r w:rsidRPr="00E013FB" w:rsidR="001108DF">
              <w:rPr>
                <w:rFonts w:ascii="Book Antiqua" w:hAnsi="Book Antiqua" w:cstheme="minorHAnsi"/>
                <w:szCs w:val="26"/>
              </w:rPr>
              <w:t xml:space="preserve"> WSD resolution(s)</w:t>
            </w:r>
          </w:p>
        </w:tc>
      </w:tr>
    </w:tbl>
    <w:p w:rsidRPr="00E013FB" w:rsidR="00FD0495" w:rsidP="00E1689C" w:rsidRDefault="00FD0495" w14:paraId="7E640CFA" w14:textId="79B3D899">
      <w:pPr>
        <w:pStyle w:val="Res-Caption"/>
        <w:rPr>
          <w:rFonts w:ascii="Book Antiqua" w:hAnsi="Book Antiqua" w:cstheme="minorHAnsi"/>
          <w:szCs w:val="26"/>
        </w:rPr>
      </w:pPr>
    </w:p>
    <w:p w:rsidRPr="00E013FB" w:rsidR="001108DF" w:rsidP="00DC243A" w:rsidRDefault="001108DF" w14:paraId="712D34E6" w14:textId="6A0116C6">
      <w:pPr>
        <w:pStyle w:val="Res-Caption"/>
        <w:spacing w:after="120"/>
        <w:ind w:left="0"/>
        <w:rPr>
          <w:rFonts w:ascii="Book Antiqua" w:hAnsi="Book Antiqua" w:cstheme="minorHAnsi"/>
          <w:b/>
          <w:bCs/>
          <w:szCs w:val="26"/>
        </w:rPr>
      </w:pPr>
      <w:r w:rsidRPr="00E013FB">
        <w:rPr>
          <w:rFonts w:ascii="Book Antiqua" w:hAnsi="Book Antiqua" w:cstheme="minorHAnsi"/>
          <w:b/>
          <w:bCs/>
          <w:szCs w:val="26"/>
        </w:rPr>
        <w:t xml:space="preserve">Table </w:t>
      </w:r>
      <w:r w:rsidRPr="00E013FB" w:rsidR="00433A26">
        <w:rPr>
          <w:rFonts w:ascii="Book Antiqua" w:hAnsi="Book Antiqua" w:cstheme="minorHAnsi"/>
          <w:b/>
          <w:bCs/>
          <w:szCs w:val="26"/>
        </w:rPr>
        <w:t>3</w:t>
      </w:r>
      <w:r w:rsidRPr="00E013FB">
        <w:rPr>
          <w:rFonts w:ascii="Book Antiqua" w:hAnsi="Book Antiqua" w:cstheme="minorHAnsi"/>
          <w:b/>
          <w:bCs/>
          <w:szCs w:val="26"/>
        </w:rPr>
        <w:t>: 2021 WMP Cycle Timeline for SMJUs and ITOs</w:t>
      </w:r>
    </w:p>
    <w:tbl>
      <w:tblPr>
        <w:tblStyle w:val="TableGrid"/>
        <w:tblW w:w="0" w:type="auto"/>
        <w:jc w:val="center"/>
        <w:tblLook w:val="04A0" w:firstRow="1" w:lastRow="0" w:firstColumn="1" w:lastColumn="0" w:noHBand="0" w:noVBand="1"/>
      </w:tblPr>
      <w:tblGrid>
        <w:gridCol w:w="2875"/>
        <w:gridCol w:w="6475"/>
      </w:tblGrid>
      <w:tr w:rsidRPr="00E013FB" w:rsidR="001108DF" w:rsidTr="00546EFC" w14:paraId="2C235819" w14:textId="77777777">
        <w:trPr>
          <w:jc w:val="center"/>
        </w:trPr>
        <w:tc>
          <w:tcPr>
            <w:tcW w:w="2875" w:type="dxa"/>
            <w:shd w:val="clear" w:color="auto" w:fill="E7E6E6" w:themeFill="background2"/>
          </w:tcPr>
          <w:p w:rsidRPr="00E013FB" w:rsidR="001108DF" w:rsidP="00BE25AF" w:rsidRDefault="001108DF" w14:paraId="6E535922" w14:textId="77777777">
            <w:pPr>
              <w:pStyle w:val="Res-Caption"/>
              <w:ind w:left="0"/>
              <w:rPr>
                <w:rFonts w:ascii="Book Antiqua" w:hAnsi="Book Antiqua" w:cstheme="minorHAnsi"/>
                <w:b/>
                <w:bCs/>
                <w:szCs w:val="26"/>
              </w:rPr>
            </w:pPr>
            <w:r w:rsidRPr="00E013FB">
              <w:rPr>
                <w:rFonts w:ascii="Book Antiqua" w:hAnsi="Book Antiqua" w:cstheme="minorHAnsi"/>
                <w:b/>
                <w:bCs/>
                <w:szCs w:val="26"/>
              </w:rPr>
              <w:t>Date</w:t>
            </w:r>
          </w:p>
        </w:tc>
        <w:tc>
          <w:tcPr>
            <w:tcW w:w="6475" w:type="dxa"/>
            <w:shd w:val="clear" w:color="auto" w:fill="E7E6E6" w:themeFill="background2"/>
          </w:tcPr>
          <w:p w:rsidRPr="00E013FB" w:rsidR="001108DF" w:rsidP="00BE25AF" w:rsidRDefault="001108DF" w14:paraId="0E8F57AE" w14:textId="77777777">
            <w:pPr>
              <w:pStyle w:val="Res-Caption"/>
              <w:ind w:left="0"/>
              <w:rPr>
                <w:rFonts w:ascii="Book Antiqua" w:hAnsi="Book Antiqua" w:cstheme="minorHAnsi"/>
                <w:b/>
                <w:bCs/>
                <w:szCs w:val="26"/>
              </w:rPr>
            </w:pPr>
            <w:r w:rsidRPr="00E013FB">
              <w:rPr>
                <w:rFonts w:ascii="Book Antiqua" w:hAnsi="Book Antiqua" w:cstheme="minorHAnsi"/>
                <w:b/>
                <w:bCs/>
                <w:szCs w:val="26"/>
              </w:rPr>
              <w:t>Action</w:t>
            </w:r>
          </w:p>
        </w:tc>
      </w:tr>
      <w:tr w:rsidRPr="00E013FB" w:rsidR="001108DF" w:rsidTr="00546EFC" w14:paraId="30B95E89" w14:textId="77777777">
        <w:trPr>
          <w:jc w:val="center"/>
        </w:trPr>
        <w:tc>
          <w:tcPr>
            <w:tcW w:w="2875" w:type="dxa"/>
          </w:tcPr>
          <w:p w:rsidRPr="00E013FB" w:rsidR="001108DF" w:rsidP="00BE25AF" w:rsidRDefault="001108DF" w14:paraId="23193028" w14:textId="32EAD4AA">
            <w:pPr>
              <w:pStyle w:val="Res-Caption"/>
              <w:ind w:left="0"/>
              <w:rPr>
                <w:rFonts w:ascii="Book Antiqua" w:hAnsi="Book Antiqua" w:cstheme="minorHAnsi"/>
                <w:szCs w:val="26"/>
              </w:rPr>
            </w:pPr>
            <w:r w:rsidRPr="00E013FB">
              <w:rPr>
                <w:rFonts w:ascii="Book Antiqua" w:hAnsi="Book Antiqua" w:cstheme="minorHAnsi"/>
                <w:szCs w:val="26"/>
              </w:rPr>
              <w:t>March 5, 2021</w:t>
            </w:r>
          </w:p>
        </w:tc>
        <w:tc>
          <w:tcPr>
            <w:tcW w:w="6475" w:type="dxa"/>
          </w:tcPr>
          <w:p w:rsidRPr="00E013FB" w:rsidR="001108DF" w:rsidP="00BE25AF" w:rsidRDefault="001108DF" w14:paraId="185930FF" w14:textId="5FE65EE7">
            <w:pPr>
              <w:pStyle w:val="Res-Caption"/>
              <w:ind w:left="0"/>
              <w:rPr>
                <w:rFonts w:ascii="Book Antiqua" w:hAnsi="Book Antiqua" w:cstheme="minorHAnsi"/>
                <w:szCs w:val="26"/>
              </w:rPr>
            </w:pPr>
            <w:r w:rsidRPr="00E013FB">
              <w:rPr>
                <w:rFonts w:ascii="Book Antiqua" w:hAnsi="Book Antiqua" w:cstheme="minorHAnsi"/>
                <w:szCs w:val="26"/>
              </w:rPr>
              <w:t>WMP submission deadline for SMJUs/ITOs</w:t>
            </w:r>
          </w:p>
        </w:tc>
      </w:tr>
      <w:tr w:rsidRPr="00E013FB" w:rsidR="001108DF" w:rsidTr="00546EFC" w14:paraId="7CB02220" w14:textId="77777777">
        <w:trPr>
          <w:jc w:val="center"/>
        </w:trPr>
        <w:tc>
          <w:tcPr>
            <w:tcW w:w="2875" w:type="dxa"/>
          </w:tcPr>
          <w:p w:rsidRPr="00E013FB" w:rsidR="001108DF" w:rsidP="00BE25AF" w:rsidRDefault="001108DF" w14:paraId="526C7493" w14:textId="16023F6F">
            <w:pPr>
              <w:pStyle w:val="Res-Caption"/>
              <w:ind w:left="0"/>
              <w:rPr>
                <w:rFonts w:ascii="Book Antiqua" w:hAnsi="Book Antiqua" w:cstheme="minorHAnsi"/>
                <w:szCs w:val="26"/>
              </w:rPr>
            </w:pPr>
            <w:r w:rsidRPr="00E013FB">
              <w:rPr>
                <w:rFonts w:ascii="Book Antiqua" w:hAnsi="Book Antiqua" w:cstheme="minorHAnsi"/>
                <w:szCs w:val="26"/>
              </w:rPr>
              <w:t xml:space="preserve">March </w:t>
            </w:r>
            <w:r w:rsidR="00882BCC">
              <w:rPr>
                <w:rFonts w:ascii="Book Antiqua" w:hAnsi="Book Antiqua" w:cstheme="minorHAnsi"/>
                <w:szCs w:val="26"/>
              </w:rPr>
              <w:t>23</w:t>
            </w:r>
            <w:r w:rsidRPr="00E013FB">
              <w:rPr>
                <w:rFonts w:ascii="Book Antiqua" w:hAnsi="Book Antiqua" w:cstheme="minorHAnsi"/>
                <w:szCs w:val="26"/>
              </w:rPr>
              <w:t>, 2021</w:t>
            </w:r>
          </w:p>
        </w:tc>
        <w:tc>
          <w:tcPr>
            <w:tcW w:w="6475" w:type="dxa"/>
          </w:tcPr>
          <w:p w:rsidRPr="00E013FB" w:rsidR="001108DF" w:rsidP="00BE25AF" w:rsidRDefault="001108DF" w14:paraId="25C11E32" w14:textId="365B316F">
            <w:pPr>
              <w:pStyle w:val="Res-Caption"/>
              <w:ind w:left="0"/>
              <w:rPr>
                <w:rFonts w:ascii="Book Antiqua" w:hAnsi="Book Antiqua" w:cstheme="minorHAnsi"/>
                <w:szCs w:val="26"/>
              </w:rPr>
            </w:pPr>
            <w:r w:rsidRPr="00E013FB">
              <w:rPr>
                <w:rFonts w:ascii="Book Antiqua" w:hAnsi="Book Antiqua" w:cstheme="minorHAnsi"/>
                <w:szCs w:val="26"/>
              </w:rPr>
              <w:t>WSD Workshops for SMJUs/ITOs</w:t>
            </w:r>
          </w:p>
        </w:tc>
      </w:tr>
      <w:tr w:rsidRPr="00E013FB" w:rsidR="001108DF" w:rsidTr="00546EFC" w14:paraId="52036DEE" w14:textId="77777777">
        <w:trPr>
          <w:jc w:val="center"/>
        </w:trPr>
        <w:tc>
          <w:tcPr>
            <w:tcW w:w="2875" w:type="dxa"/>
          </w:tcPr>
          <w:p w:rsidRPr="00E013FB" w:rsidR="001108DF" w:rsidP="00BE25AF" w:rsidRDefault="001108DF" w14:paraId="0C1A2E26" w14:textId="06B430A8">
            <w:pPr>
              <w:pStyle w:val="Res-Caption"/>
              <w:ind w:left="0"/>
              <w:rPr>
                <w:rFonts w:ascii="Book Antiqua" w:hAnsi="Book Antiqua" w:cstheme="minorHAnsi"/>
                <w:szCs w:val="26"/>
              </w:rPr>
            </w:pPr>
            <w:r w:rsidRPr="00E013FB">
              <w:rPr>
                <w:rFonts w:ascii="Book Antiqua" w:hAnsi="Book Antiqua" w:cstheme="minorHAnsi"/>
                <w:szCs w:val="26"/>
              </w:rPr>
              <w:lastRenderedPageBreak/>
              <w:t>April 14, 2021</w:t>
            </w:r>
          </w:p>
        </w:tc>
        <w:tc>
          <w:tcPr>
            <w:tcW w:w="6475" w:type="dxa"/>
          </w:tcPr>
          <w:p w:rsidRPr="00E013FB" w:rsidR="001108DF" w:rsidP="00BE25AF" w:rsidRDefault="001108DF" w14:paraId="6369197B" w14:textId="7C45A2C2">
            <w:pPr>
              <w:pStyle w:val="Res-Caption"/>
              <w:ind w:left="0"/>
              <w:rPr>
                <w:rFonts w:ascii="Book Antiqua" w:hAnsi="Book Antiqua" w:cstheme="minorHAnsi"/>
                <w:szCs w:val="26"/>
              </w:rPr>
            </w:pPr>
            <w:r w:rsidRPr="00E013FB">
              <w:rPr>
                <w:rFonts w:ascii="Book Antiqua" w:hAnsi="Book Antiqua" w:cstheme="minorHAnsi"/>
                <w:szCs w:val="26"/>
              </w:rPr>
              <w:t>Public Comments due for SMJU/ITO WMPs</w:t>
            </w:r>
          </w:p>
        </w:tc>
      </w:tr>
      <w:tr w:rsidRPr="00E013FB" w:rsidR="001108DF" w:rsidTr="00546EFC" w14:paraId="41095BA0" w14:textId="77777777">
        <w:trPr>
          <w:jc w:val="center"/>
        </w:trPr>
        <w:tc>
          <w:tcPr>
            <w:tcW w:w="2875" w:type="dxa"/>
          </w:tcPr>
          <w:p w:rsidRPr="00E013FB" w:rsidR="001108DF" w:rsidP="00BE25AF" w:rsidRDefault="001108DF" w14:paraId="689D3307" w14:textId="49BB571A">
            <w:pPr>
              <w:pStyle w:val="Res-Caption"/>
              <w:ind w:left="0"/>
              <w:rPr>
                <w:rFonts w:ascii="Book Antiqua" w:hAnsi="Book Antiqua" w:cstheme="minorHAnsi"/>
                <w:szCs w:val="26"/>
              </w:rPr>
            </w:pPr>
            <w:r w:rsidRPr="00E013FB">
              <w:rPr>
                <w:rFonts w:ascii="Book Antiqua" w:hAnsi="Book Antiqua" w:cstheme="minorHAnsi"/>
                <w:szCs w:val="26"/>
              </w:rPr>
              <w:t>April 21, 2021</w:t>
            </w:r>
          </w:p>
        </w:tc>
        <w:tc>
          <w:tcPr>
            <w:tcW w:w="6475" w:type="dxa"/>
          </w:tcPr>
          <w:p w:rsidRPr="00E013FB" w:rsidR="001108DF" w:rsidP="00BE25AF" w:rsidRDefault="001108DF" w14:paraId="71BB7F23" w14:textId="6F483ECB">
            <w:pPr>
              <w:pStyle w:val="Res-Caption"/>
              <w:ind w:left="0"/>
              <w:rPr>
                <w:rFonts w:ascii="Book Antiqua" w:hAnsi="Book Antiqua" w:cstheme="minorHAnsi"/>
                <w:szCs w:val="26"/>
              </w:rPr>
            </w:pPr>
            <w:r w:rsidRPr="00E013FB">
              <w:rPr>
                <w:rFonts w:ascii="Book Antiqua" w:hAnsi="Book Antiqua" w:cstheme="minorHAnsi"/>
                <w:szCs w:val="26"/>
              </w:rPr>
              <w:t xml:space="preserve">Reply </w:t>
            </w:r>
            <w:r w:rsidR="00882BCC">
              <w:rPr>
                <w:rFonts w:ascii="Book Antiqua" w:hAnsi="Book Antiqua" w:cstheme="minorHAnsi"/>
                <w:szCs w:val="26"/>
              </w:rPr>
              <w:t>C</w:t>
            </w:r>
            <w:r w:rsidRPr="00E013FB">
              <w:rPr>
                <w:rFonts w:ascii="Book Antiqua" w:hAnsi="Book Antiqua" w:cstheme="minorHAnsi"/>
                <w:szCs w:val="26"/>
              </w:rPr>
              <w:t>omments due</w:t>
            </w:r>
            <w:r w:rsidR="00882BCC">
              <w:rPr>
                <w:rFonts w:ascii="Book Antiqua" w:hAnsi="Book Antiqua" w:cstheme="minorHAnsi"/>
                <w:szCs w:val="26"/>
              </w:rPr>
              <w:t xml:space="preserve"> for SMJU/ITO WMPs</w:t>
            </w:r>
          </w:p>
        </w:tc>
      </w:tr>
      <w:tr w:rsidRPr="00E013FB" w:rsidR="001108DF" w:rsidTr="00546EFC" w14:paraId="01C8D60D" w14:textId="77777777">
        <w:trPr>
          <w:jc w:val="center"/>
        </w:trPr>
        <w:tc>
          <w:tcPr>
            <w:tcW w:w="2875" w:type="dxa"/>
          </w:tcPr>
          <w:p w:rsidRPr="00E013FB" w:rsidR="001108DF" w:rsidP="00BE25AF" w:rsidRDefault="001108DF" w14:paraId="1F0CD0FC" w14:textId="707870F2">
            <w:pPr>
              <w:pStyle w:val="Res-Caption"/>
              <w:ind w:left="0"/>
              <w:rPr>
                <w:rFonts w:ascii="Book Antiqua" w:hAnsi="Book Antiqua" w:cstheme="minorHAnsi"/>
                <w:szCs w:val="26"/>
              </w:rPr>
            </w:pPr>
            <w:r w:rsidRPr="00E013FB">
              <w:rPr>
                <w:rFonts w:ascii="Book Antiqua" w:hAnsi="Book Antiqua" w:cstheme="minorHAnsi"/>
                <w:szCs w:val="26"/>
              </w:rPr>
              <w:t>June 2021</w:t>
            </w:r>
          </w:p>
        </w:tc>
        <w:tc>
          <w:tcPr>
            <w:tcW w:w="6475" w:type="dxa"/>
          </w:tcPr>
          <w:p w:rsidRPr="00E013FB" w:rsidR="001108DF" w:rsidP="00BE25AF" w:rsidRDefault="001108DF" w14:paraId="49BA0E71" w14:textId="277671B0">
            <w:pPr>
              <w:pStyle w:val="Res-Caption"/>
              <w:ind w:left="0"/>
              <w:rPr>
                <w:rFonts w:ascii="Book Antiqua" w:hAnsi="Book Antiqua" w:cstheme="minorHAnsi"/>
                <w:szCs w:val="26"/>
              </w:rPr>
            </w:pPr>
            <w:r w:rsidRPr="00E013FB">
              <w:rPr>
                <w:rFonts w:ascii="Book Antiqua" w:hAnsi="Book Antiqua" w:cstheme="minorHAnsi"/>
                <w:szCs w:val="26"/>
              </w:rPr>
              <w:t>WSD published draft resolution(s)</w:t>
            </w:r>
            <w:r w:rsidRPr="00E013FB" w:rsidR="00B5350D">
              <w:rPr>
                <w:rFonts w:ascii="Book Antiqua" w:hAnsi="Book Antiqua" w:cstheme="minorHAnsi"/>
                <w:szCs w:val="26"/>
              </w:rPr>
              <w:t xml:space="preserve"> and action statements </w:t>
            </w:r>
            <w:r w:rsidRPr="00E013FB">
              <w:rPr>
                <w:rFonts w:ascii="Book Antiqua" w:hAnsi="Book Antiqua" w:cstheme="minorHAnsi"/>
                <w:szCs w:val="26"/>
              </w:rPr>
              <w:t>for SMJU/ITO WMPs</w:t>
            </w:r>
          </w:p>
        </w:tc>
      </w:tr>
      <w:tr w:rsidRPr="00E013FB" w:rsidR="001108DF" w:rsidTr="00546EFC" w14:paraId="2DFAD522" w14:textId="77777777">
        <w:trPr>
          <w:jc w:val="center"/>
        </w:trPr>
        <w:tc>
          <w:tcPr>
            <w:tcW w:w="2875" w:type="dxa"/>
          </w:tcPr>
          <w:p w:rsidRPr="00E013FB" w:rsidR="001108DF" w:rsidP="00BE25AF" w:rsidRDefault="001108DF" w14:paraId="10C871C3" w14:textId="435C4903">
            <w:pPr>
              <w:pStyle w:val="Res-Caption"/>
              <w:ind w:left="0"/>
              <w:rPr>
                <w:rFonts w:ascii="Book Antiqua" w:hAnsi="Book Antiqua" w:cstheme="minorHAnsi"/>
                <w:szCs w:val="26"/>
              </w:rPr>
            </w:pPr>
            <w:r w:rsidRPr="00E013FB">
              <w:rPr>
                <w:rFonts w:ascii="Book Antiqua" w:hAnsi="Book Antiqua" w:cstheme="minorHAnsi"/>
                <w:szCs w:val="26"/>
              </w:rPr>
              <w:t>July 2021</w:t>
            </w:r>
          </w:p>
        </w:tc>
        <w:tc>
          <w:tcPr>
            <w:tcW w:w="6475" w:type="dxa"/>
          </w:tcPr>
          <w:p w:rsidRPr="00E013FB" w:rsidR="001108DF" w:rsidP="00BE25AF" w:rsidRDefault="00151658" w14:paraId="74C112CA" w14:textId="047D5B84">
            <w:pPr>
              <w:pStyle w:val="Res-Caption"/>
              <w:ind w:left="0"/>
              <w:rPr>
                <w:rFonts w:ascii="Book Antiqua" w:hAnsi="Book Antiqua" w:cstheme="minorHAnsi"/>
                <w:szCs w:val="26"/>
              </w:rPr>
            </w:pPr>
            <w:r w:rsidRPr="00E013FB">
              <w:rPr>
                <w:rFonts w:ascii="Book Antiqua" w:hAnsi="Book Antiqua" w:cstheme="minorHAnsi"/>
                <w:szCs w:val="26"/>
              </w:rPr>
              <w:t xml:space="preserve">Earliest date </w:t>
            </w:r>
            <w:r w:rsidRPr="00E013FB" w:rsidR="001108DF">
              <w:rPr>
                <w:rFonts w:ascii="Book Antiqua" w:hAnsi="Book Antiqua" w:cstheme="minorHAnsi"/>
                <w:szCs w:val="26"/>
              </w:rPr>
              <w:t>Commission ratif</w:t>
            </w:r>
            <w:r w:rsidRPr="00E013FB">
              <w:rPr>
                <w:rFonts w:ascii="Book Antiqua" w:hAnsi="Book Antiqua" w:cstheme="minorHAnsi"/>
                <w:szCs w:val="26"/>
              </w:rPr>
              <w:t>y</w:t>
            </w:r>
            <w:r w:rsidRPr="00E013FB" w:rsidR="001108DF">
              <w:rPr>
                <w:rFonts w:ascii="Book Antiqua" w:hAnsi="Book Antiqua" w:cstheme="minorHAnsi"/>
                <w:szCs w:val="26"/>
              </w:rPr>
              <w:t xml:space="preserve"> WSD resolution(s)</w:t>
            </w:r>
          </w:p>
        </w:tc>
      </w:tr>
    </w:tbl>
    <w:p w:rsidRPr="00E013FB" w:rsidR="001108DF" w:rsidP="00546EFC" w:rsidRDefault="001108DF" w14:paraId="0ACF35AC" w14:textId="2989716D">
      <w:pPr>
        <w:pStyle w:val="Res-Caption"/>
        <w:ind w:left="0"/>
        <w:rPr>
          <w:rFonts w:ascii="Book Antiqua" w:hAnsi="Book Antiqua" w:cstheme="minorHAnsi"/>
          <w:szCs w:val="26"/>
        </w:rPr>
      </w:pPr>
    </w:p>
    <w:p w:rsidRPr="003923D6" w:rsidR="004D6831" w:rsidP="003923D6" w:rsidRDefault="004D6831" w14:paraId="13526F75" w14:textId="12E4CD08">
      <w:pPr>
        <w:pStyle w:val="Standard"/>
      </w:pPr>
      <w:r w:rsidRPr="00E013FB">
        <w:t xml:space="preserve">The Commission is satisfied that the more regular data submissions and the timing changes </w:t>
      </w:r>
      <w:r w:rsidRPr="00E013FB" w:rsidR="001E4BCD">
        <w:t xml:space="preserve">the </w:t>
      </w:r>
      <w:r w:rsidRPr="00E013FB">
        <w:t xml:space="preserve">WSD recommends will </w:t>
      </w:r>
      <w:r w:rsidRPr="00E013FB" w:rsidR="00267117">
        <w:t xml:space="preserve">improve the </w:t>
      </w:r>
      <w:r w:rsidRPr="00E013FB">
        <w:t>WMP review</w:t>
      </w:r>
      <w:r w:rsidRPr="00E013FB" w:rsidR="00267117">
        <w:t xml:space="preserve"> process for</w:t>
      </w:r>
      <w:r w:rsidRPr="00E013FB">
        <w:t xml:space="preserve"> the WSD, the Commission and stakeholders.</w:t>
      </w:r>
    </w:p>
    <w:p w:rsidRPr="00E013FB" w:rsidR="00E1689C" w:rsidP="003923D6" w:rsidRDefault="00E1689C" w14:paraId="2F2DA05D" w14:textId="185A2D5E">
      <w:pPr>
        <w:pStyle w:val="Res-Caption"/>
        <w:keepNext/>
        <w:keepLines/>
        <w:numPr>
          <w:ilvl w:val="0"/>
          <w:numId w:val="38"/>
        </w:numPr>
        <w:ind w:left="900" w:hanging="540"/>
        <w:rPr>
          <w:rFonts w:ascii="Book Antiqua" w:hAnsi="Book Antiqua" w:cstheme="minorHAnsi"/>
          <w:b/>
          <w:bCs/>
          <w:szCs w:val="26"/>
        </w:rPr>
      </w:pPr>
      <w:r w:rsidRPr="00E013FB">
        <w:rPr>
          <w:rFonts w:ascii="Book Antiqua" w:hAnsi="Book Antiqua" w:cstheme="minorHAnsi"/>
          <w:b/>
          <w:bCs/>
          <w:szCs w:val="26"/>
        </w:rPr>
        <w:t xml:space="preserve">Attachment </w:t>
      </w:r>
      <w:r w:rsidRPr="00E013FB" w:rsidR="00D97228">
        <w:rPr>
          <w:rFonts w:ascii="Book Antiqua" w:hAnsi="Book Antiqua" w:cstheme="minorHAnsi"/>
          <w:b/>
          <w:bCs/>
          <w:szCs w:val="26"/>
        </w:rPr>
        <w:t>4</w:t>
      </w:r>
      <w:r w:rsidRPr="00E013FB" w:rsidR="00541678">
        <w:rPr>
          <w:rFonts w:ascii="Book Antiqua" w:hAnsi="Book Antiqua" w:cstheme="minorHAnsi"/>
          <w:b/>
          <w:bCs/>
          <w:szCs w:val="26"/>
        </w:rPr>
        <w:t>:</w:t>
      </w:r>
      <w:r w:rsidRPr="00E013FB">
        <w:rPr>
          <w:rFonts w:ascii="Book Antiqua" w:hAnsi="Book Antiqua" w:cstheme="minorHAnsi"/>
          <w:b/>
          <w:bCs/>
          <w:szCs w:val="26"/>
        </w:rPr>
        <w:t xml:space="preserve"> Annual Safety Culture Assessment Process </w:t>
      </w:r>
    </w:p>
    <w:p w:rsidRPr="00E013FB" w:rsidR="00546EFC" w:rsidP="003923D6" w:rsidRDefault="00546EFC" w14:paraId="568B2C10" w14:textId="77777777">
      <w:pPr>
        <w:pStyle w:val="Res-Caption"/>
        <w:keepNext/>
        <w:keepLines/>
        <w:ind w:left="0"/>
        <w:rPr>
          <w:rFonts w:ascii="Book Antiqua" w:hAnsi="Book Antiqua" w:cstheme="minorHAnsi"/>
          <w:b/>
          <w:bCs/>
          <w:szCs w:val="26"/>
        </w:rPr>
      </w:pPr>
    </w:p>
    <w:p w:rsidRPr="003923D6" w:rsidR="004D6831" w:rsidP="003923D6" w:rsidRDefault="00E1689C" w14:paraId="3567E831" w14:textId="44A71238">
      <w:pPr>
        <w:pStyle w:val="Standard"/>
      </w:pPr>
      <w:r w:rsidRPr="00E013FB">
        <w:t>Pursuant to §</w:t>
      </w:r>
      <w:r w:rsidRPr="00E013FB" w:rsidR="00C74010">
        <w:t xml:space="preserve"> </w:t>
      </w:r>
      <w:r w:rsidRPr="00E013FB">
        <w:t xml:space="preserve">8389, by December 1, 2020, and annually thereafter, the Commission, after consultation with the WSD, must adopt and approve a process for the WSD to conduct annual safety culture assessments for each electrical corporation subject to the Commission’s jurisdiction. </w:t>
      </w:r>
    </w:p>
    <w:p w:rsidRPr="003923D6" w:rsidR="00E1689C" w:rsidP="003923D6" w:rsidRDefault="001E4BCD" w14:paraId="3C7FD296" w14:textId="5872C33D">
      <w:pPr>
        <w:pStyle w:val="Standard"/>
      </w:pPr>
      <w:r w:rsidRPr="00E013FB">
        <w:t xml:space="preserve">The </w:t>
      </w:r>
      <w:r w:rsidRPr="00E013FB" w:rsidR="00E1689C">
        <w:t xml:space="preserve">WSD’s annual </w:t>
      </w:r>
      <w:r w:rsidRPr="00E013FB" w:rsidR="00E73F7F">
        <w:t>S</w:t>
      </w:r>
      <w:r w:rsidRPr="00E013FB" w:rsidR="00E1689C">
        <w:t xml:space="preserve">afety </w:t>
      </w:r>
      <w:r w:rsidRPr="00E013FB" w:rsidR="00E73F7F">
        <w:t>C</w:t>
      </w:r>
      <w:r w:rsidRPr="00E013FB" w:rsidR="00E1689C">
        <w:t xml:space="preserve">ulture </w:t>
      </w:r>
      <w:r w:rsidRPr="00E013FB" w:rsidR="00E73F7F">
        <w:t>A</w:t>
      </w:r>
      <w:r w:rsidRPr="00E013FB" w:rsidR="00E1689C">
        <w:t>ssessment is distinct from the broader safety culture assessment required of the C</w:t>
      </w:r>
      <w:r w:rsidRPr="00E013FB" w:rsidR="00E73F7F">
        <w:t xml:space="preserve">ommission </w:t>
      </w:r>
      <w:r w:rsidRPr="00E013FB" w:rsidR="00E1689C">
        <w:t>by §</w:t>
      </w:r>
      <w:r w:rsidRPr="00E013FB" w:rsidR="00C74010">
        <w:t xml:space="preserve"> </w:t>
      </w:r>
      <w:r w:rsidRPr="00E013FB" w:rsidR="00E1689C">
        <w:t xml:space="preserve">8386(2). </w:t>
      </w:r>
      <w:r w:rsidRPr="00E013FB" w:rsidR="0078369D">
        <w:t>T</w:t>
      </w:r>
      <w:r w:rsidRPr="00E013FB" w:rsidR="00E1689C">
        <w:t xml:space="preserve">he WSD’s </w:t>
      </w:r>
      <w:r w:rsidRPr="00E013FB" w:rsidR="00E73F7F">
        <w:t>annual S</w:t>
      </w:r>
      <w:r w:rsidRPr="00E013FB" w:rsidR="00E1689C">
        <w:t xml:space="preserve">afety </w:t>
      </w:r>
      <w:r w:rsidRPr="00E013FB" w:rsidR="00E73F7F">
        <w:t>C</w:t>
      </w:r>
      <w:r w:rsidRPr="00E013FB" w:rsidR="00E1689C">
        <w:t xml:space="preserve">ulture </w:t>
      </w:r>
      <w:r w:rsidRPr="00E013FB" w:rsidR="00E73F7F">
        <w:t>A</w:t>
      </w:r>
      <w:r w:rsidRPr="00E013FB" w:rsidR="00E1689C">
        <w:t xml:space="preserve">ssessment will focus on </w:t>
      </w:r>
      <w:r w:rsidRPr="00E013FB" w:rsidR="0066799A">
        <w:t xml:space="preserve">foundational components of safety culture and components specific to </w:t>
      </w:r>
      <w:r w:rsidRPr="00E013FB" w:rsidR="00E1689C">
        <w:t>wildfire risk.</w:t>
      </w:r>
      <w:r w:rsidRPr="00E013FB" w:rsidR="00267117">
        <w:t xml:space="preserve"> The WSD may phase in the proposed elements of the WSD’s annual Safety Culture Assessment and may </w:t>
      </w:r>
      <w:r w:rsidRPr="00E013FB" w:rsidR="00586498">
        <w:t>deploy</w:t>
      </w:r>
      <w:r w:rsidRPr="00E013FB" w:rsidR="00267117">
        <w:t xml:space="preserve"> a streamlined Safety Culture Assessment for SMJUs/ITOs.  </w:t>
      </w:r>
      <w:r w:rsidRPr="00E013FB" w:rsidR="00E1689C">
        <w:t xml:space="preserve"> </w:t>
      </w:r>
    </w:p>
    <w:p w:rsidRPr="003923D6" w:rsidR="00C97643" w:rsidP="003923D6" w:rsidRDefault="00E1689C" w14:paraId="1E5237D0" w14:textId="45B8CD48">
      <w:pPr>
        <w:pStyle w:val="Standard"/>
      </w:pPr>
      <w:r w:rsidRPr="00E013FB">
        <w:t xml:space="preserve">The WSD will </w:t>
      </w:r>
      <w:r w:rsidRPr="00E013FB" w:rsidR="00C97643">
        <w:t xml:space="preserve">use </w:t>
      </w:r>
      <w:r w:rsidRPr="00E013FB">
        <w:t xml:space="preserve">assessment tools </w:t>
      </w:r>
      <w:r w:rsidRPr="00E013FB" w:rsidR="00C97643">
        <w:t xml:space="preserve">focused on </w:t>
      </w:r>
      <w:r w:rsidRPr="00E013FB">
        <w:t xml:space="preserve">whether </w:t>
      </w:r>
      <w:r w:rsidRPr="00E013FB" w:rsidR="00C97643">
        <w:t>electrical corporations are building a wildfire s</w:t>
      </w:r>
      <w:r w:rsidRPr="00E013FB">
        <w:t xml:space="preserve">afety </w:t>
      </w:r>
      <w:r w:rsidRPr="00E013FB" w:rsidR="00C97643">
        <w:t xml:space="preserve">culture:  </w:t>
      </w:r>
    </w:p>
    <w:p w:rsidRPr="00E013FB" w:rsidR="00E1689C" w:rsidP="003923D6" w:rsidRDefault="00C97643" w14:paraId="3CCF9C9C" w14:textId="56A370F8">
      <w:pPr>
        <w:pStyle w:val="Res-Caption"/>
        <w:numPr>
          <w:ilvl w:val="0"/>
          <w:numId w:val="50"/>
        </w:numPr>
        <w:spacing w:after="120"/>
        <w:ind w:left="1080" w:right="1440"/>
        <w:rPr>
          <w:rFonts w:ascii="Book Antiqua" w:hAnsi="Book Antiqua" w:cstheme="minorHAnsi"/>
          <w:szCs w:val="26"/>
        </w:rPr>
      </w:pPr>
      <w:r w:rsidRPr="00E013FB">
        <w:rPr>
          <w:rFonts w:ascii="Book Antiqua" w:hAnsi="Book Antiqua" w:cstheme="minorHAnsi"/>
          <w:szCs w:val="26"/>
        </w:rPr>
        <w:t xml:space="preserve">An electrical corporation </w:t>
      </w:r>
      <w:r w:rsidRPr="00E013FB" w:rsidR="00E1689C">
        <w:rPr>
          <w:rFonts w:ascii="Book Antiqua" w:hAnsi="Book Antiqua" w:cstheme="minorHAnsi"/>
          <w:szCs w:val="26"/>
        </w:rPr>
        <w:t xml:space="preserve">workforce survey intended to assess culture </w:t>
      </w:r>
      <w:r w:rsidRPr="00E013FB">
        <w:rPr>
          <w:rFonts w:ascii="Book Antiqua" w:hAnsi="Book Antiqua" w:cstheme="minorHAnsi"/>
          <w:szCs w:val="26"/>
        </w:rPr>
        <w:t xml:space="preserve">in areas </w:t>
      </w:r>
      <w:r w:rsidRPr="00E013FB" w:rsidR="00E1689C">
        <w:rPr>
          <w:rFonts w:ascii="Book Antiqua" w:hAnsi="Book Antiqua" w:cstheme="minorHAnsi"/>
          <w:szCs w:val="26"/>
        </w:rPr>
        <w:t>particularly relevant to wildfire;</w:t>
      </w:r>
    </w:p>
    <w:p w:rsidRPr="00E013FB" w:rsidR="00E1689C" w:rsidP="003923D6" w:rsidRDefault="00C97643" w14:paraId="03B7E47E" w14:textId="5CA23798">
      <w:pPr>
        <w:pStyle w:val="Res-Caption"/>
        <w:numPr>
          <w:ilvl w:val="0"/>
          <w:numId w:val="50"/>
        </w:numPr>
        <w:spacing w:after="120"/>
        <w:ind w:left="1080" w:right="1440"/>
        <w:rPr>
          <w:rFonts w:ascii="Book Antiqua" w:hAnsi="Book Antiqua" w:cstheme="minorHAnsi"/>
          <w:szCs w:val="26"/>
        </w:rPr>
      </w:pPr>
      <w:bookmarkStart w:name="_Hlk52451569" w:id="1"/>
      <w:r w:rsidRPr="00E013FB">
        <w:rPr>
          <w:rFonts w:ascii="Book Antiqua" w:hAnsi="Book Antiqua" w:cstheme="minorHAnsi"/>
          <w:szCs w:val="26"/>
        </w:rPr>
        <w:t>An o</w:t>
      </w:r>
      <w:r w:rsidRPr="00E013FB" w:rsidR="00E1689C">
        <w:rPr>
          <w:rFonts w:ascii="Book Antiqua" w:hAnsi="Book Antiqua" w:cstheme="minorHAnsi"/>
          <w:szCs w:val="26"/>
        </w:rPr>
        <w:t xml:space="preserve">rganizational self-assessment </w:t>
      </w:r>
      <w:r w:rsidRPr="00E013FB">
        <w:rPr>
          <w:rFonts w:ascii="Book Antiqua" w:hAnsi="Book Antiqua" w:cstheme="minorHAnsi"/>
          <w:szCs w:val="26"/>
        </w:rPr>
        <w:t xml:space="preserve">on </w:t>
      </w:r>
      <w:r w:rsidRPr="00E013FB" w:rsidR="00E1689C">
        <w:rPr>
          <w:rFonts w:ascii="Book Antiqua" w:hAnsi="Book Antiqua" w:cstheme="minorHAnsi"/>
          <w:szCs w:val="26"/>
        </w:rPr>
        <w:t xml:space="preserve">elements of organizational </w:t>
      </w:r>
      <w:r w:rsidRPr="00E013FB" w:rsidR="00BC5995">
        <w:rPr>
          <w:rFonts w:ascii="Book Antiqua" w:hAnsi="Book Antiqua" w:cstheme="minorHAnsi"/>
          <w:szCs w:val="26"/>
        </w:rPr>
        <w:t xml:space="preserve">policies and practices </w:t>
      </w:r>
      <w:r w:rsidRPr="00E013FB" w:rsidR="00E1689C">
        <w:rPr>
          <w:rFonts w:ascii="Book Antiqua" w:hAnsi="Book Antiqua" w:cstheme="minorHAnsi"/>
          <w:szCs w:val="26"/>
        </w:rPr>
        <w:t>that heavily influence culture as well as each electrical corporation’s targets and plans to improve;</w:t>
      </w:r>
    </w:p>
    <w:bookmarkEnd w:id="1"/>
    <w:p w:rsidRPr="00E013FB" w:rsidR="00E1689C" w:rsidP="003923D6" w:rsidRDefault="00C97643" w14:paraId="40C564C1" w14:textId="3C5AB94B">
      <w:pPr>
        <w:pStyle w:val="Res-Caption"/>
        <w:numPr>
          <w:ilvl w:val="0"/>
          <w:numId w:val="50"/>
        </w:numPr>
        <w:spacing w:after="120"/>
        <w:ind w:left="1080" w:right="1440"/>
        <w:rPr>
          <w:rFonts w:ascii="Book Antiqua" w:hAnsi="Book Antiqua" w:cstheme="minorHAnsi"/>
          <w:szCs w:val="26"/>
        </w:rPr>
      </w:pPr>
      <w:r w:rsidRPr="00E013FB">
        <w:rPr>
          <w:rFonts w:ascii="Book Antiqua" w:hAnsi="Book Antiqua" w:cstheme="minorHAnsi"/>
          <w:szCs w:val="26"/>
        </w:rPr>
        <w:t>S</w:t>
      </w:r>
      <w:r w:rsidRPr="00E013FB" w:rsidR="00E1689C">
        <w:rPr>
          <w:rFonts w:ascii="Book Antiqua" w:hAnsi="Book Antiqua" w:cstheme="minorHAnsi"/>
          <w:szCs w:val="26"/>
        </w:rPr>
        <w:t xml:space="preserve">afety </w:t>
      </w:r>
      <w:r w:rsidRPr="00E013FB">
        <w:rPr>
          <w:rFonts w:ascii="Book Antiqua" w:hAnsi="Book Antiqua" w:cstheme="minorHAnsi"/>
          <w:szCs w:val="26"/>
        </w:rPr>
        <w:t>g</w:t>
      </w:r>
      <w:r w:rsidRPr="00E013FB" w:rsidR="00E1689C">
        <w:rPr>
          <w:rFonts w:ascii="Book Antiqua" w:hAnsi="Book Antiqua" w:cstheme="minorHAnsi"/>
          <w:szCs w:val="26"/>
        </w:rPr>
        <w:t xml:space="preserve">overnance </w:t>
      </w:r>
      <w:r w:rsidRPr="00E013FB">
        <w:rPr>
          <w:rFonts w:ascii="Book Antiqua" w:hAnsi="Book Antiqua" w:cstheme="minorHAnsi"/>
          <w:szCs w:val="26"/>
        </w:rPr>
        <w:t>d</w:t>
      </w:r>
      <w:r w:rsidRPr="00E013FB" w:rsidR="00E1689C">
        <w:rPr>
          <w:rFonts w:ascii="Book Antiqua" w:hAnsi="Book Antiqua" w:cstheme="minorHAnsi"/>
          <w:szCs w:val="26"/>
        </w:rPr>
        <w:t xml:space="preserve">ocumentation </w:t>
      </w:r>
      <w:r w:rsidRPr="00E013FB" w:rsidR="00143FA0">
        <w:rPr>
          <w:rFonts w:ascii="Book Antiqua" w:hAnsi="Book Antiqua" w:cstheme="minorHAnsi"/>
          <w:szCs w:val="26"/>
        </w:rPr>
        <w:t xml:space="preserve">focused on </w:t>
      </w:r>
      <w:r w:rsidRPr="00E013FB" w:rsidR="00E1689C">
        <w:rPr>
          <w:rFonts w:ascii="Book Antiqua" w:hAnsi="Book Antiqua" w:cstheme="minorHAnsi"/>
          <w:szCs w:val="26"/>
        </w:rPr>
        <w:t xml:space="preserve">lessons learned, evidence </w:t>
      </w:r>
      <w:r w:rsidRPr="00E013FB" w:rsidR="00143FA0">
        <w:rPr>
          <w:rFonts w:ascii="Book Antiqua" w:hAnsi="Book Antiqua" w:cstheme="minorHAnsi"/>
          <w:szCs w:val="26"/>
        </w:rPr>
        <w:t xml:space="preserve">supporting </w:t>
      </w:r>
      <w:r w:rsidRPr="00E013FB" w:rsidR="00E1689C">
        <w:rPr>
          <w:rFonts w:ascii="Book Antiqua" w:hAnsi="Book Antiqua" w:cstheme="minorHAnsi"/>
          <w:szCs w:val="26"/>
        </w:rPr>
        <w:t>the organizational self-assessment, detail regarding plan</w:t>
      </w:r>
      <w:r w:rsidRPr="00E013FB" w:rsidR="00143FA0">
        <w:rPr>
          <w:rFonts w:ascii="Book Antiqua" w:hAnsi="Book Antiqua" w:cstheme="minorHAnsi"/>
          <w:szCs w:val="26"/>
        </w:rPr>
        <w:t>s</w:t>
      </w:r>
      <w:r w:rsidRPr="00E013FB" w:rsidR="00E1689C">
        <w:rPr>
          <w:rFonts w:ascii="Book Antiqua" w:hAnsi="Book Antiqua" w:cstheme="minorHAnsi"/>
          <w:szCs w:val="26"/>
        </w:rPr>
        <w:t xml:space="preserve"> to improve, compliance with Board structure requirements pursuant to §</w:t>
      </w:r>
      <w:r w:rsidRPr="00E013FB" w:rsidR="00C74010">
        <w:rPr>
          <w:rFonts w:ascii="Book Antiqua" w:hAnsi="Book Antiqua" w:cstheme="minorHAnsi"/>
          <w:szCs w:val="26"/>
        </w:rPr>
        <w:t xml:space="preserve"> </w:t>
      </w:r>
      <w:r w:rsidRPr="00E013FB" w:rsidR="00E1689C">
        <w:rPr>
          <w:rFonts w:ascii="Book Antiqua" w:hAnsi="Book Antiqua" w:cstheme="minorHAnsi"/>
          <w:szCs w:val="26"/>
        </w:rPr>
        <w:t>8389(e)(5) and §</w:t>
      </w:r>
      <w:r w:rsidRPr="00E013FB" w:rsidR="00C74010">
        <w:rPr>
          <w:rFonts w:ascii="Book Antiqua" w:hAnsi="Book Antiqua" w:cstheme="minorHAnsi"/>
          <w:szCs w:val="26"/>
        </w:rPr>
        <w:t xml:space="preserve"> </w:t>
      </w:r>
      <w:r w:rsidRPr="00E013FB" w:rsidR="00E1689C">
        <w:rPr>
          <w:rFonts w:ascii="Book Antiqua" w:hAnsi="Book Antiqua" w:cstheme="minorHAnsi"/>
          <w:szCs w:val="26"/>
        </w:rPr>
        <w:t>8389(e)(3), and verifications of compliance with past related Commission directives, as applicable;</w:t>
      </w:r>
    </w:p>
    <w:p w:rsidRPr="00E013FB" w:rsidR="00E1689C" w:rsidP="003923D6" w:rsidRDefault="00E1689C" w14:paraId="5DC79EAF" w14:textId="77777777">
      <w:pPr>
        <w:pStyle w:val="Res-Caption"/>
        <w:numPr>
          <w:ilvl w:val="0"/>
          <w:numId w:val="50"/>
        </w:numPr>
        <w:spacing w:after="120"/>
        <w:ind w:left="1080" w:right="1440"/>
        <w:rPr>
          <w:rFonts w:ascii="Book Antiqua" w:hAnsi="Book Antiqua" w:cstheme="minorHAnsi"/>
          <w:szCs w:val="26"/>
        </w:rPr>
      </w:pPr>
      <w:r w:rsidRPr="00E013FB">
        <w:rPr>
          <w:rFonts w:ascii="Book Antiqua" w:hAnsi="Book Antiqua" w:cstheme="minorHAnsi"/>
          <w:szCs w:val="26"/>
        </w:rPr>
        <w:lastRenderedPageBreak/>
        <w:t>Interviews and observational visits, as necessary.</w:t>
      </w:r>
    </w:p>
    <w:p w:rsidRPr="00E013FB" w:rsidR="002A2C97" w:rsidP="003923D6" w:rsidRDefault="0078369D" w14:paraId="4C8C24A5" w14:textId="07192838">
      <w:pPr>
        <w:pStyle w:val="Standard"/>
      </w:pPr>
      <w:r w:rsidRPr="00E013FB">
        <w:t xml:space="preserve">The Commission has reviewed the WSD’s Safety Culture Assessment proposals and </w:t>
      </w:r>
      <w:r w:rsidRPr="003923D6">
        <w:t>Attachment</w:t>
      </w:r>
      <w:r w:rsidRPr="00E013FB">
        <w:t xml:space="preserve"> 4 and is satisfied that the materials appropriately focus on safety culture in the wildfire context.</w:t>
      </w:r>
    </w:p>
    <w:p w:rsidRPr="00E013FB" w:rsidR="00705C88" w:rsidP="00546EFC" w:rsidRDefault="00705C88" w14:paraId="72A4C65A" w14:textId="5BD7709C">
      <w:pPr>
        <w:pStyle w:val="Heading1"/>
        <w:numPr>
          <w:ilvl w:val="0"/>
          <w:numId w:val="51"/>
        </w:numPr>
        <w:spacing w:before="240"/>
        <w:ind w:left="720"/>
        <w:rPr>
          <w:rFonts w:ascii="Book Antiqua" w:hAnsi="Book Antiqua" w:cstheme="minorHAnsi"/>
          <w:szCs w:val="26"/>
        </w:rPr>
      </w:pPr>
      <w:r w:rsidRPr="00E013FB">
        <w:rPr>
          <w:rFonts w:ascii="Book Antiqua" w:hAnsi="Book Antiqua" w:cstheme="minorHAnsi"/>
          <w:szCs w:val="26"/>
        </w:rPr>
        <w:t>Comments</w:t>
      </w:r>
    </w:p>
    <w:p w:rsidR="00F97A04" w:rsidP="00F97A04" w:rsidRDefault="00F97A04" w14:paraId="0AC5B1A2" w14:textId="3B779105">
      <w:pPr>
        <w:pStyle w:val="Standard"/>
      </w:pPr>
      <w:r>
        <w:t>A draft of this Resolution was served on the service list of R.18-10-007, noticed on the Commission’s Daily Calendar, and posted on the WSD’s website (www.cpuc.ca.gov/wsd) on October 12, 2020. Pursuant to Rule 14.5 of the Commission’s Rules of Practice and Procedure</w:t>
      </w:r>
      <w:r w:rsidR="00106084">
        <w:t xml:space="preserve"> and Resolution WSD-001</w:t>
      </w:r>
      <w:r>
        <w:t xml:space="preserve">, comments on the Draft Resolution could be submitted by any </w:t>
      </w:r>
      <w:r w:rsidR="00846122">
        <w:t>stakeholder</w:t>
      </w:r>
      <w:r>
        <w:t>.</w:t>
      </w:r>
    </w:p>
    <w:p w:rsidR="00CD35BC" w:rsidRDefault="00F97A04" w14:paraId="51EA061D" w14:textId="16FA2C64">
      <w:pPr>
        <w:pStyle w:val="Standard"/>
      </w:pPr>
      <w:r>
        <w:t xml:space="preserve">On November 2, 2020, </w:t>
      </w:r>
      <w:r w:rsidR="00106084">
        <w:t>the following stakeholders submitted timely comments</w:t>
      </w:r>
      <w:r>
        <w:t xml:space="preserve">: California Association of Small and Multi-Jurisdictional Utilities, Green Power Institute (GPI), Mussey Grade Road Alliance, Pacific Gas and Electric, Protect Our Communities Foundation, Public Advocates Office (Cal Advocates), San Diego </w:t>
      </w:r>
      <w:r w:rsidRPr="00B73127">
        <w:t xml:space="preserve">Gas &amp; Electric, Southern California Edison, and The Utility Reform Network. </w:t>
      </w:r>
    </w:p>
    <w:p w:rsidRPr="00B73127" w:rsidR="00F97A04" w:rsidRDefault="00F97A04" w14:paraId="5D3C400F" w14:textId="274847E3">
      <w:pPr>
        <w:pStyle w:val="Standard"/>
      </w:pPr>
      <w:r w:rsidRPr="00B73127">
        <w:t>The following is a synopsis of modifications made based on comments.</w:t>
      </w:r>
      <w:r w:rsidR="00CD35BC">
        <w:t xml:space="preserve"> In addition, minor changes to fix typographical errors, improve clarity or flow have been made throughout the appendices. </w:t>
      </w:r>
    </w:p>
    <w:p w:rsidR="00012291" w:rsidP="00DE1815" w:rsidRDefault="00872C88" w14:paraId="7E4E4E47" w14:textId="1274E862">
      <w:pPr>
        <w:pStyle w:val="Standard"/>
        <w:numPr>
          <w:ilvl w:val="0"/>
          <w:numId w:val="60"/>
        </w:numPr>
      </w:pPr>
      <w:r>
        <w:t>I</w:t>
      </w:r>
      <w:r w:rsidR="00CD35BC">
        <w:t xml:space="preserve">n response to SDG&amp;E’s comments </w:t>
      </w:r>
      <w:r w:rsidRPr="00B73127" w:rsidR="00F97A04">
        <w:t>that initiatives should be reported in flexible units to accurately reflect target metrics</w:t>
      </w:r>
      <w:r w:rsidR="00CD35BC">
        <w:t>, u</w:t>
      </w:r>
      <w:r w:rsidRPr="00B73127" w:rsidR="00F97A04">
        <w:t>tilities are permitted to report initiative scope in the units they use to track each initiative (e.g. number of fuses replaced for fuse replacement initiatives)</w:t>
      </w:r>
      <w:r w:rsidR="00012291">
        <w:t>. H</w:t>
      </w:r>
      <w:r w:rsidRPr="00B73127" w:rsidR="00F97A04">
        <w:t xml:space="preserve">owever the utilities will still be required to report in </w:t>
      </w:r>
      <w:r w:rsidR="00106084">
        <w:t xml:space="preserve">circuit </w:t>
      </w:r>
      <w:r w:rsidRPr="00B73127" w:rsidR="00F97A04">
        <w:t xml:space="preserve">line miles to facilitate comparison across utilities. </w:t>
      </w:r>
    </w:p>
    <w:p w:rsidR="00012291" w:rsidP="00DE1815" w:rsidRDefault="00F97A04" w14:paraId="65853A25" w14:textId="69961222">
      <w:pPr>
        <w:pStyle w:val="Standard"/>
        <w:numPr>
          <w:ilvl w:val="0"/>
          <w:numId w:val="60"/>
        </w:numPr>
      </w:pPr>
      <w:r w:rsidRPr="00B73127">
        <w:t>In response to c</w:t>
      </w:r>
      <w:r w:rsidR="00012291">
        <w:t>omments</w:t>
      </w:r>
      <w:r w:rsidRPr="00B73127">
        <w:t xml:space="preserve"> raised by PG&amp;E and SCE, the 2023 projection data requirements have been removed</w:t>
      </w:r>
      <w:r w:rsidR="00012291">
        <w:t>.</w:t>
      </w:r>
    </w:p>
    <w:p w:rsidRPr="00B73127" w:rsidR="00012291" w:rsidP="00012291" w:rsidRDefault="00012291" w14:paraId="10AFB7D9" w14:textId="21C8C12A">
      <w:pPr>
        <w:pStyle w:val="Standard"/>
        <w:numPr>
          <w:ilvl w:val="0"/>
          <w:numId w:val="60"/>
        </w:numPr>
      </w:pPr>
      <w:r>
        <w:t>In response to comments by</w:t>
      </w:r>
      <w:r w:rsidRPr="00B73127">
        <w:t xml:space="preserve"> Cal Advocates</w:t>
      </w:r>
      <w:r>
        <w:t>, the Commission agrees that Red Flag Warning (RFW)</w:t>
      </w:r>
      <w:r w:rsidRPr="00B73127">
        <w:t xml:space="preserve"> circuit miles should only reflect </w:t>
      </w:r>
      <w:r>
        <w:t>circuits</w:t>
      </w:r>
      <w:r w:rsidRPr="00B73127">
        <w:t xml:space="preserve"> impacted by RFW days</w:t>
      </w:r>
      <w:r>
        <w:t xml:space="preserve">. </w:t>
      </w:r>
      <w:r w:rsidRPr="00B73127">
        <w:t xml:space="preserve">  </w:t>
      </w:r>
      <w:r>
        <w:t xml:space="preserve">Therefore, the </w:t>
      </w:r>
      <w:r w:rsidRPr="00B73127">
        <w:t>normalization of RFW circuit mile days has been adjusted to exclude undergrounded lines</w:t>
      </w:r>
      <w:r>
        <w:t xml:space="preserve"> (noted as overhead (OH) circuit miles).</w:t>
      </w:r>
      <w:r w:rsidR="00872C88">
        <w:t xml:space="preserve"> Similar adjustment has been made to exclude undergrounded lines from the metric for High Wind Warning circuit mile days.</w:t>
      </w:r>
      <w:r>
        <w:t xml:space="preserve"> In addition, definitions for “circuit mile” and “line mile” have been </w:t>
      </w:r>
      <w:r>
        <w:lastRenderedPageBreak/>
        <w:t>added to the WMP glossary.</w:t>
      </w:r>
      <w:r w:rsidR="00DE1815">
        <w:t xml:space="preserve"> Utilities are also required to provide projected targets for their reported program target metrics (e.g. projected 2022 target).</w:t>
      </w:r>
    </w:p>
    <w:p w:rsidR="00F97A04" w:rsidP="00DE1815" w:rsidRDefault="00F97A04" w14:paraId="3A65DC93" w14:textId="600D8818">
      <w:pPr>
        <w:pStyle w:val="Standard"/>
        <w:numPr>
          <w:ilvl w:val="0"/>
          <w:numId w:val="60"/>
        </w:numPr>
      </w:pPr>
      <w:r w:rsidRPr="00B73127">
        <w:t xml:space="preserve">In response to comments from Cal Advocates, utility WMP workshops have been moved one week earlier </w:t>
      </w:r>
      <w:r w:rsidR="00BE58B7">
        <w:t xml:space="preserve">while </w:t>
      </w:r>
      <w:r w:rsidRPr="00B73127">
        <w:t xml:space="preserve">public comment dates have </w:t>
      </w:r>
      <w:r w:rsidR="00BE58B7">
        <w:t>not been shifted</w:t>
      </w:r>
      <w:r w:rsidRPr="00B73127">
        <w:t xml:space="preserve">. A clarification has also been added that </w:t>
      </w:r>
      <w:r w:rsidR="00012291">
        <w:t>any stakeholder</w:t>
      </w:r>
      <w:r w:rsidRPr="00B73127">
        <w:t xml:space="preserve"> may submit comments and reply comments.</w:t>
      </w:r>
    </w:p>
    <w:p w:rsidR="00DE1815" w:rsidP="00DE1815" w:rsidRDefault="00DE1815" w14:paraId="183889D6" w14:textId="5AF58814">
      <w:pPr>
        <w:pStyle w:val="Standard"/>
        <w:numPr>
          <w:ilvl w:val="0"/>
          <w:numId w:val="60"/>
        </w:numPr>
      </w:pPr>
      <w:bookmarkStart w:name="_Hlk55986227" w:id="2"/>
      <w:r>
        <w:t xml:space="preserve">In response to GPI’s comments regarding reporting of </w:t>
      </w:r>
      <w:r w:rsidR="0051725C">
        <w:t>updates</w:t>
      </w:r>
      <w:r w:rsidR="00EE506F">
        <w:t xml:space="preserve"> </w:t>
      </w:r>
      <w:r>
        <w:t xml:space="preserve">on </w:t>
      </w:r>
      <w:r w:rsidR="0051725C">
        <w:t xml:space="preserve">progress since </w:t>
      </w:r>
      <w:r>
        <w:t>2020, a new</w:t>
      </w:r>
      <w:r w:rsidRPr="00B73127">
        <w:t xml:space="preserve"> Guidelines Section 4.6 has been added </w:t>
      </w:r>
      <w:r>
        <w:t>that requires</w:t>
      </w:r>
      <w:r w:rsidRPr="00B73127">
        <w:t xml:space="preserve"> the utilities to report progress on 2020 WMP deficiencies.</w:t>
      </w:r>
      <w:bookmarkEnd w:id="2"/>
      <w:r w:rsidR="00632201">
        <w:t xml:space="preserve"> In addition, the characterization of WSAB’s recommendation 2.1 has been changed to “partially incorporated” (</w:t>
      </w:r>
      <w:r w:rsidRPr="00C6721E" w:rsidR="00632201">
        <w:rPr>
          <w:i/>
          <w:iCs/>
        </w:rPr>
        <w:t>see</w:t>
      </w:r>
      <w:r w:rsidR="00632201">
        <w:t xml:space="preserve"> Attachment 2.1) since risk-spend efficiency is delineated by High Fire Threat District level, rather than circuit level, as was originally recommended by the WSAB. </w:t>
      </w:r>
    </w:p>
    <w:p w:rsidRPr="00B73127" w:rsidR="00632201" w:rsidP="00DE1815" w:rsidRDefault="00632201" w14:paraId="458AA567" w14:textId="501D911A">
      <w:pPr>
        <w:pStyle w:val="Standard"/>
        <w:numPr>
          <w:ilvl w:val="0"/>
          <w:numId w:val="60"/>
        </w:numPr>
      </w:pPr>
      <w:r>
        <w:t>In response to GPI’s comments, Section 4.4 of the WMP Guidelines has been modified to include</w:t>
      </w:r>
      <w:r w:rsidR="007A5AB1">
        <w:t xml:space="preserve"> discussion on</w:t>
      </w:r>
      <w:r>
        <w:t xml:space="preserve"> results. </w:t>
      </w:r>
      <w:r w:rsidR="00DA235E">
        <w:t xml:space="preserve">Further, in Maturity Model capabilities 24 and 25, the words “vegetation waste” have been modified to include vegetation residue. The words now appear as “vegetation waste/residue.” </w:t>
      </w:r>
    </w:p>
    <w:p w:rsidR="009138E4" w:rsidP="009138E4" w:rsidRDefault="009138E4" w14:paraId="3014C10A" w14:textId="18725D35">
      <w:pPr>
        <w:pStyle w:val="Standard"/>
        <w:numPr>
          <w:ilvl w:val="0"/>
          <w:numId w:val="60"/>
        </w:numPr>
      </w:pPr>
      <w:r>
        <w:t>In response to comments to Protect our Communities, the WMP Guidelines have been updated to clarify that, when referencing specific statutes and directives, this includes Commission directives.</w:t>
      </w:r>
    </w:p>
    <w:p w:rsidR="00DE1815" w:rsidP="00DE1815" w:rsidRDefault="00DA235E" w14:paraId="32CC0F9F" w14:textId="60A827F6">
      <w:pPr>
        <w:pStyle w:val="Standard"/>
        <w:numPr>
          <w:ilvl w:val="0"/>
          <w:numId w:val="60"/>
        </w:numPr>
      </w:pPr>
      <w:r>
        <w:t>In response to SCE’s comment that</w:t>
      </w:r>
      <w:r w:rsidRPr="007D3543">
        <w:t xml:space="preserve"> the Safety Culture Assessment will require significant additional resources </w:t>
      </w:r>
      <w:r>
        <w:t xml:space="preserve">that </w:t>
      </w:r>
      <w:r w:rsidRPr="007D3543">
        <w:t xml:space="preserve"> need to be balanced with existing safety culture efforts and other utility objectives</w:t>
      </w:r>
      <w:r>
        <w:t>,</w:t>
      </w:r>
      <w:r w:rsidRPr="007D3543">
        <w:t xml:space="preserve"> Safety Culture Assessment planning meeting</w:t>
      </w:r>
      <w:r w:rsidR="006E06D9">
        <w:t>s</w:t>
      </w:r>
      <w:r w:rsidRPr="007D3543">
        <w:t xml:space="preserve"> will be </w:t>
      </w:r>
      <w:r w:rsidR="006E06D9">
        <w:t>set</w:t>
      </w:r>
      <w:r w:rsidRPr="007D3543">
        <w:t xml:space="preserve"> to determine the amount of work required from IOUs</w:t>
      </w:r>
      <w:r>
        <w:t xml:space="preserve">. </w:t>
      </w:r>
      <w:r w:rsidRPr="007D3543">
        <w:t xml:space="preserve"> </w:t>
      </w:r>
      <w:r>
        <w:t>This meeting</w:t>
      </w:r>
      <w:r w:rsidRPr="007D3543">
        <w:t xml:space="preserve"> will enable the WSD t</w:t>
      </w:r>
      <w:r w:rsidRPr="0002034E">
        <w:t>o tailor how the Safety Culture Assessment will be administered for each IOU.</w:t>
      </w:r>
    </w:p>
    <w:p w:rsidR="00521098" w:rsidP="00DE1815" w:rsidRDefault="00521098" w14:paraId="2214F9D8" w14:textId="276EBCCF">
      <w:pPr>
        <w:pStyle w:val="Standard"/>
        <w:numPr>
          <w:ilvl w:val="0"/>
          <w:numId w:val="60"/>
        </w:numPr>
      </w:pPr>
      <w:r>
        <w:t xml:space="preserve">Finally, the Commission acknowledges comments from the IOUs regarding the volume and scope of quarterly data reporting requirements. The WSD will continue to work with stakeholders to ensure these requirements can be met. No changes are made to the data reporting requirements at this time. </w:t>
      </w:r>
    </w:p>
    <w:p w:rsidRPr="00B73127" w:rsidR="00B73127" w:rsidRDefault="00B73127" w14:paraId="25E20220" w14:textId="77777777">
      <w:pPr>
        <w:pStyle w:val="Standard"/>
      </w:pPr>
    </w:p>
    <w:p w:rsidRPr="00E013FB" w:rsidR="00705C88" w:rsidP="00705C88" w:rsidRDefault="00705C88" w14:paraId="67319621" w14:textId="2FC27D48">
      <w:pPr>
        <w:pStyle w:val="Heading1"/>
        <w:rPr>
          <w:rFonts w:ascii="Book Antiqua" w:hAnsi="Book Antiqua" w:cstheme="minorHAnsi"/>
          <w:szCs w:val="26"/>
        </w:rPr>
      </w:pPr>
      <w:r w:rsidRPr="00E013FB">
        <w:rPr>
          <w:rFonts w:ascii="Book Antiqua" w:hAnsi="Book Antiqua" w:cstheme="minorHAnsi"/>
          <w:szCs w:val="26"/>
        </w:rPr>
        <w:lastRenderedPageBreak/>
        <w:t>Findings</w:t>
      </w:r>
    </w:p>
    <w:p w:rsidRPr="00E013FB" w:rsidR="002A2C97" w:rsidP="001E068E" w:rsidRDefault="006D4469" w14:paraId="5C6C41D7" w14:textId="0090624A">
      <w:pPr>
        <w:pStyle w:val="ListParagraph"/>
        <w:numPr>
          <w:ilvl w:val="0"/>
          <w:numId w:val="30"/>
        </w:numPr>
        <w:spacing w:after="120"/>
        <w:ind w:left="360"/>
        <w:contextualSpacing w:val="0"/>
        <w:rPr>
          <w:rFonts w:ascii="Book Antiqua" w:hAnsi="Book Antiqua" w:cstheme="minorHAnsi"/>
          <w:szCs w:val="26"/>
        </w:rPr>
      </w:pPr>
      <w:r w:rsidRPr="00E013FB">
        <w:rPr>
          <w:rFonts w:ascii="Book Antiqua" w:hAnsi="Book Antiqua" w:cstheme="minorHAnsi"/>
          <w:szCs w:val="26"/>
        </w:rPr>
        <w:t>AB</w:t>
      </w:r>
      <w:r w:rsidRPr="00E013FB" w:rsidR="005F5ABD">
        <w:rPr>
          <w:rFonts w:ascii="Book Antiqua" w:hAnsi="Book Antiqua" w:cstheme="minorHAnsi"/>
          <w:szCs w:val="26"/>
        </w:rPr>
        <w:t xml:space="preserve"> 1054 and Commission Resolution WSD-001 require </w:t>
      </w:r>
      <w:r w:rsidRPr="00E013FB" w:rsidR="002A2C97">
        <w:rPr>
          <w:rFonts w:ascii="Book Antiqua" w:hAnsi="Book Antiqua" w:cstheme="minorHAnsi"/>
          <w:szCs w:val="26"/>
        </w:rPr>
        <w:t>all California electrical corporations and independent transmission owners (ITOs)</w:t>
      </w:r>
      <w:r w:rsidRPr="00E013FB" w:rsidR="005F5ABD">
        <w:rPr>
          <w:rFonts w:ascii="Book Antiqua" w:hAnsi="Book Antiqua" w:cstheme="minorHAnsi"/>
          <w:szCs w:val="26"/>
        </w:rPr>
        <w:t xml:space="preserve"> to file a Wildfire Mitigation Plan </w:t>
      </w:r>
      <w:r w:rsidRPr="00E013FB" w:rsidR="002A2C97">
        <w:rPr>
          <w:rFonts w:ascii="Book Antiqua" w:hAnsi="Book Antiqua" w:cstheme="minorHAnsi"/>
          <w:szCs w:val="26"/>
        </w:rPr>
        <w:t xml:space="preserve">update </w:t>
      </w:r>
      <w:r w:rsidRPr="00E013FB" w:rsidR="005F5ABD">
        <w:rPr>
          <w:rFonts w:ascii="Book Antiqua" w:hAnsi="Book Antiqua" w:cstheme="minorHAnsi"/>
          <w:szCs w:val="26"/>
        </w:rPr>
        <w:t>for 202</w:t>
      </w:r>
      <w:r w:rsidRPr="00E013FB" w:rsidR="002A2C97">
        <w:rPr>
          <w:rFonts w:ascii="Book Antiqua" w:hAnsi="Book Antiqua" w:cstheme="minorHAnsi"/>
          <w:szCs w:val="26"/>
        </w:rPr>
        <w:t>1</w:t>
      </w:r>
      <w:r w:rsidRPr="00E013FB" w:rsidR="005F5ABD">
        <w:rPr>
          <w:rFonts w:ascii="Book Antiqua" w:hAnsi="Book Antiqua" w:cstheme="minorHAnsi"/>
          <w:szCs w:val="26"/>
        </w:rPr>
        <w:t xml:space="preserve"> that conforms with Pub. Util. Code </w:t>
      </w:r>
      <w:r w:rsidRPr="00E013FB" w:rsidR="00124BEA">
        <w:rPr>
          <w:rFonts w:ascii="Book Antiqua" w:hAnsi="Book Antiqua" w:cstheme="minorHAnsi"/>
          <w:szCs w:val="26"/>
        </w:rPr>
        <w:t>§</w:t>
      </w:r>
      <w:r w:rsidRPr="00E013FB" w:rsidR="005F5ABD">
        <w:rPr>
          <w:rFonts w:ascii="Book Antiqua" w:hAnsi="Book Antiqua" w:cstheme="minorHAnsi"/>
          <w:szCs w:val="26"/>
        </w:rPr>
        <w:t xml:space="preserve"> 8386(c) and guidance provided by the WSD and served on the Rulemaking 18-10-007 service list</w:t>
      </w:r>
      <w:r w:rsidRPr="00E013FB" w:rsidR="002A2C97">
        <w:rPr>
          <w:rFonts w:ascii="Book Antiqua" w:hAnsi="Book Antiqua" w:cstheme="minorHAnsi"/>
          <w:szCs w:val="26"/>
        </w:rPr>
        <w:t xml:space="preserve"> </w:t>
      </w:r>
      <w:r w:rsidRPr="00E013FB" w:rsidR="00C50EB4">
        <w:rPr>
          <w:rFonts w:ascii="Book Antiqua" w:hAnsi="Book Antiqua" w:cstheme="minorHAnsi"/>
          <w:szCs w:val="26"/>
        </w:rPr>
        <w:t>a</w:t>
      </w:r>
      <w:r w:rsidRPr="00E013FB" w:rsidR="002A2C97">
        <w:rPr>
          <w:rFonts w:ascii="Book Antiqua" w:hAnsi="Book Antiqua" w:cstheme="minorHAnsi"/>
          <w:szCs w:val="26"/>
        </w:rPr>
        <w:t>s part of this resolution.</w:t>
      </w:r>
    </w:p>
    <w:p w:rsidRPr="00E013FB" w:rsidR="0078369D" w:rsidP="00433A26" w:rsidRDefault="008D5DE7" w14:paraId="12B6296D" w14:textId="77777777">
      <w:pPr>
        <w:pStyle w:val="ListParagraph"/>
        <w:numPr>
          <w:ilvl w:val="0"/>
          <w:numId w:val="30"/>
        </w:numPr>
        <w:spacing w:after="120"/>
        <w:ind w:left="360"/>
        <w:contextualSpacing w:val="0"/>
        <w:rPr>
          <w:rFonts w:ascii="Book Antiqua" w:hAnsi="Book Antiqua" w:cstheme="minorHAnsi"/>
          <w:szCs w:val="26"/>
        </w:rPr>
      </w:pPr>
      <w:r w:rsidRPr="00E013FB">
        <w:rPr>
          <w:rFonts w:ascii="Book Antiqua" w:hAnsi="Book Antiqua" w:cstheme="minorHAnsi"/>
          <w:szCs w:val="26"/>
        </w:rPr>
        <w:t xml:space="preserve">AB 1054 requires the WSD to consider and evaluate recommendations from the Wildfire Safety Advisory Board that were included in the WSAB June </w:t>
      </w:r>
      <w:r w:rsidRPr="00E013FB" w:rsidR="00C74010">
        <w:rPr>
          <w:rFonts w:ascii="Book Antiqua" w:hAnsi="Book Antiqua" w:cstheme="minorHAnsi"/>
          <w:szCs w:val="26"/>
        </w:rPr>
        <w:t>24, 2020,</w:t>
      </w:r>
      <w:r w:rsidRPr="00E013FB">
        <w:rPr>
          <w:rFonts w:ascii="Book Antiqua" w:hAnsi="Book Antiqua" w:cstheme="minorHAnsi"/>
          <w:szCs w:val="26"/>
        </w:rPr>
        <w:t xml:space="preserve"> Final Report. </w:t>
      </w:r>
    </w:p>
    <w:p w:rsidRPr="00E013FB" w:rsidR="008D5DE7" w:rsidP="00433A26" w:rsidRDefault="0078369D" w14:paraId="265ADDF7" w14:textId="296AF014">
      <w:pPr>
        <w:pStyle w:val="ListParagraph"/>
        <w:numPr>
          <w:ilvl w:val="0"/>
          <w:numId w:val="30"/>
        </w:numPr>
        <w:spacing w:after="120"/>
        <w:ind w:left="360"/>
        <w:contextualSpacing w:val="0"/>
        <w:rPr>
          <w:rFonts w:ascii="Book Antiqua" w:hAnsi="Book Antiqua" w:cstheme="minorHAnsi"/>
          <w:szCs w:val="26"/>
        </w:rPr>
      </w:pPr>
      <w:r w:rsidRPr="00E013FB">
        <w:rPr>
          <w:rFonts w:ascii="Book Antiqua" w:hAnsi="Book Antiqua" w:cstheme="minorHAnsi"/>
          <w:szCs w:val="26"/>
        </w:rPr>
        <w:t>The WSD’s incorporation of many of WSAB’s recommendations input is appropriate. Other WSAB recommendations are appropriately deferred to the next WMP cycle.</w:t>
      </w:r>
      <w:r w:rsidRPr="00E013FB" w:rsidR="008D5DE7">
        <w:rPr>
          <w:rFonts w:ascii="Book Antiqua" w:hAnsi="Book Antiqua" w:cstheme="minorHAnsi"/>
          <w:szCs w:val="26"/>
        </w:rPr>
        <w:t xml:space="preserve"> </w:t>
      </w:r>
    </w:p>
    <w:p w:rsidRPr="00E013FB" w:rsidR="00143FA0" w:rsidP="00143FA0" w:rsidRDefault="008D5DE7" w14:paraId="5FF1D9E4" w14:textId="2B29099F">
      <w:pPr>
        <w:pStyle w:val="ListParagraph"/>
        <w:numPr>
          <w:ilvl w:val="0"/>
          <w:numId w:val="30"/>
        </w:numPr>
        <w:spacing w:after="120"/>
        <w:ind w:left="360"/>
        <w:contextualSpacing w:val="0"/>
        <w:rPr>
          <w:rFonts w:ascii="Book Antiqua" w:hAnsi="Book Antiqua" w:cstheme="minorHAnsi"/>
          <w:szCs w:val="26"/>
        </w:rPr>
      </w:pPr>
      <w:r w:rsidRPr="00E013FB">
        <w:rPr>
          <w:rFonts w:ascii="Book Antiqua" w:hAnsi="Book Antiqua" w:cstheme="minorHAnsi"/>
          <w:szCs w:val="26"/>
        </w:rPr>
        <w:t xml:space="preserve">Pub. Util. Code </w:t>
      </w:r>
      <w:r w:rsidRPr="00E013FB" w:rsidR="00C74010">
        <w:rPr>
          <w:rFonts w:ascii="Book Antiqua" w:hAnsi="Book Antiqua" w:cstheme="minorHAnsi"/>
          <w:szCs w:val="26"/>
        </w:rPr>
        <w:t>§</w:t>
      </w:r>
      <w:r w:rsidRPr="00E013FB" w:rsidR="00143FA0">
        <w:rPr>
          <w:rFonts w:ascii="Book Antiqua" w:hAnsi="Book Antiqua" w:cstheme="minorHAnsi"/>
          <w:szCs w:val="26"/>
        </w:rPr>
        <w:t>§</w:t>
      </w:r>
      <w:r w:rsidRPr="00E013FB">
        <w:rPr>
          <w:rFonts w:ascii="Book Antiqua" w:hAnsi="Book Antiqua" w:cstheme="minorHAnsi"/>
          <w:szCs w:val="26"/>
        </w:rPr>
        <w:t xml:space="preserve"> 8386(d)</w:t>
      </w:r>
      <w:r w:rsidRPr="00E013FB" w:rsidR="00143FA0">
        <w:rPr>
          <w:rFonts w:ascii="Book Antiqua" w:hAnsi="Book Antiqua" w:cstheme="minorHAnsi"/>
          <w:szCs w:val="26"/>
        </w:rPr>
        <w:t xml:space="preserve">(1), (2) and </w:t>
      </w:r>
      <w:r w:rsidRPr="00E013FB">
        <w:rPr>
          <w:rFonts w:ascii="Book Antiqua" w:hAnsi="Book Antiqua" w:cstheme="minorHAnsi"/>
          <w:szCs w:val="26"/>
        </w:rPr>
        <w:t>(4) require</w:t>
      </w:r>
      <w:r w:rsidRPr="00E013FB" w:rsidR="00143FA0">
        <w:rPr>
          <w:rFonts w:ascii="Book Antiqua" w:hAnsi="Book Antiqua" w:cstheme="minorHAnsi"/>
          <w:szCs w:val="26"/>
        </w:rPr>
        <w:t xml:space="preserve"> the Commission to adopt, after consultation with the WSD, the following: (1) performance metrics for electrical corporations, (2) additional requirements for wildfire mitigation plans, and (4) a process for the division to conduct annual safety culture assessments for each electrical corporation.  This Resolution with its Attachments meet</w:t>
      </w:r>
      <w:r w:rsidRPr="00E013FB" w:rsidR="0078369D">
        <w:rPr>
          <w:rFonts w:ascii="Book Antiqua" w:hAnsi="Book Antiqua" w:cstheme="minorHAnsi"/>
          <w:szCs w:val="26"/>
        </w:rPr>
        <w:t>s</w:t>
      </w:r>
      <w:r w:rsidRPr="00E013FB" w:rsidR="00143FA0">
        <w:rPr>
          <w:rFonts w:ascii="Book Antiqua" w:hAnsi="Book Antiqua" w:cstheme="minorHAnsi"/>
          <w:szCs w:val="26"/>
        </w:rPr>
        <w:t xml:space="preserve"> each of the foregoing requirements.</w:t>
      </w:r>
    </w:p>
    <w:p w:rsidRPr="00E013FB" w:rsidR="00586498" w:rsidP="00433A26" w:rsidRDefault="00143FA0" w14:paraId="5ECFA376" w14:textId="3E7535E5">
      <w:pPr>
        <w:pStyle w:val="ListParagraph"/>
        <w:numPr>
          <w:ilvl w:val="0"/>
          <w:numId w:val="30"/>
        </w:numPr>
        <w:spacing w:after="120"/>
        <w:ind w:left="360"/>
        <w:contextualSpacing w:val="0"/>
        <w:rPr>
          <w:rFonts w:ascii="Book Antiqua" w:hAnsi="Book Antiqua" w:cstheme="minorHAnsi"/>
          <w:szCs w:val="26"/>
        </w:rPr>
      </w:pPr>
      <w:r w:rsidRPr="00E013FB">
        <w:rPr>
          <w:rFonts w:ascii="Book Antiqua" w:hAnsi="Book Antiqua" w:cstheme="minorHAnsi"/>
          <w:szCs w:val="26"/>
        </w:rPr>
        <w:t xml:space="preserve">The </w:t>
      </w:r>
      <w:r w:rsidRPr="00E013FB" w:rsidR="00586498">
        <w:rPr>
          <w:rFonts w:ascii="Book Antiqua" w:hAnsi="Book Antiqua" w:cstheme="minorHAnsi"/>
          <w:szCs w:val="26"/>
        </w:rPr>
        <w:t xml:space="preserve">WMP review </w:t>
      </w:r>
      <w:r w:rsidRPr="00E013FB">
        <w:rPr>
          <w:rFonts w:ascii="Book Antiqua" w:hAnsi="Book Antiqua" w:cstheme="minorHAnsi"/>
          <w:szCs w:val="26"/>
        </w:rPr>
        <w:t xml:space="preserve">schedule herein appropriately balances the needs of stakeholders, the Commission and the WSD.  </w:t>
      </w:r>
      <w:r w:rsidRPr="00E013FB" w:rsidR="007935C9">
        <w:rPr>
          <w:rFonts w:ascii="Book Antiqua" w:hAnsi="Book Antiqua" w:cstheme="minorHAnsi"/>
          <w:szCs w:val="26"/>
        </w:rPr>
        <w:t>The</w:t>
      </w:r>
      <w:r w:rsidRPr="00E013FB">
        <w:rPr>
          <w:rFonts w:ascii="Book Antiqua" w:hAnsi="Book Antiqua" w:cstheme="minorHAnsi"/>
          <w:szCs w:val="26"/>
        </w:rPr>
        <w:t xml:space="preserve"> </w:t>
      </w:r>
      <w:r w:rsidRPr="00E013FB" w:rsidR="00B02E43">
        <w:rPr>
          <w:rFonts w:ascii="Book Antiqua" w:hAnsi="Book Antiqua" w:cstheme="minorHAnsi"/>
          <w:szCs w:val="26"/>
        </w:rPr>
        <w:t xml:space="preserve">WSD may modify the 2021 WMP schedule as deemed necessary via written notice to stakeholders subject to the statutory parameters set forth in </w:t>
      </w:r>
      <w:r w:rsidRPr="00E013FB" w:rsidR="00C74010">
        <w:rPr>
          <w:rFonts w:ascii="Book Antiqua" w:hAnsi="Book Antiqua" w:cstheme="minorHAnsi"/>
          <w:szCs w:val="26"/>
        </w:rPr>
        <w:t xml:space="preserve">§ </w:t>
      </w:r>
      <w:r w:rsidRPr="00E013FB" w:rsidR="00B02E43">
        <w:rPr>
          <w:rFonts w:ascii="Book Antiqua" w:hAnsi="Book Antiqua" w:cstheme="minorHAnsi"/>
          <w:szCs w:val="26"/>
        </w:rPr>
        <w:t>8386</w:t>
      </w:r>
      <w:r w:rsidRPr="00E013FB" w:rsidR="00C52CF5">
        <w:rPr>
          <w:rFonts w:ascii="Book Antiqua" w:hAnsi="Book Antiqua" w:cstheme="minorHAnsi"/>
          <w:szCs w:val="26"/>
        </w:rPr>
        <w:t>(b)</w:t>
      </w:r>
      <w:r w:rsidRPr="00E013FB" w:rsidR="00541678">
        <w:rPr>
          <w:rFonts w:ascii="Book Antiqua" w:hAnsi="Book Antiqua" w:cstheme="minorHAnsi"/>
          <w:szCs w:val="26"/>
        </w:rPr>
        <w:t>.</w:t>
      </w:r>
    </w:p>
    <w:p w:rsidRPr="00E013FB" w:rsidR="00586498" w:rsidP="00433A26" w:rsidRDefault="00586498" w14:paraId="72FA553B" w14:textId="77777777">
      <w:pPr>
        <w:pStyle w:val="ListParagraph"/>
        <w:numPr>
          <w:ilvl w:val="0"/>
          <w:numId w:val="30"/>
        </w:numPr>
        <w:spacing w:after="120"/>
        <w:ind w:left="360"/>
        <w:contextualSpacing w:val="0"/>
        <w:rPr>
          <w:rFonts w:ascii="Book Antiqua" w:hAnsi="Book Antiqua" w:cstheme="minorHAnsi"/>
          <w:szCs w:val="26"/>
        </w:rPr>
      </w:pPr>
      <w:r w:rsidRPr="00E013FB">
        <w:rPr>
          <w:rFonts w:ascii="Book Antiqua" w:hAnsi="Book Antiqua" w:cstheme="minorHAnsi"/>
          <w:szCs w:val="26"/>
        </w:rPr>
        <w:t>The WSD may modify the quarterly report schedule or cadence as deemed necessary via written notice to stakeholders.</w:t>
      </w:r>
    </w:p>
    <w:p w:rsidRPr="00E013FB" w:rsidR="00586498" w:rsidP="00433A26" w:rsidRDefault="00586498" w14:paraId="36C3EEFC" w14:textId="12B7D9FE">
      <w:pPr>
        <w:pStyle w:val="ListParagraph"/>
        <w:numPr>
          <w:ilvl w:val="0"/>
          <w:numId w:val="30"/>
        </w:numPr>
        <w:spacing w:after="120"/>
        <w:ind w:left="360"/>
        <w:contextualSpacing w:val="0"/>
        <w:rPr>
          <w:rFonts w:ascii="Book Antiqua" w:hAnsi="Book Antiqua" w:cstheme="minorHAnsi"/>
          <w:szCs w:val="26"/>
        </w:rPr>
      </w:pPr>
      <w:r w:rsidRPr="00E013FB">
        <w:rPr>
          <w:rFonts w:ascii="Book Antiqua" w:hAnsi="Book Antiqua" w:cstheme="minorHAnsi"/>
          <w:szCs w:val="26"/>
        </w:rPr>
        <w:t>The WSD may modify the 2021 Safety Culture Assessment schedule, as deemed necessary, via written notice to stakeholders.</w:t>
      </w:r>
    </w:p>
    <w:p w:rsidRPr="00E013FB" w:rsidR="00433A26" w:rsidP="00433A26" w:rsidRDefault="00586498" w14:paraId="7D0F3104" w14:textId="31A17014">
      <w:pPr>
        <w:pStyle w:val="ListParagraph"/>
        <w:numPr>
          <w:ilvl w:val="0"/>
          <w:numId w:val="30"/>
        </w:numPr>
        <w:spacing w:after="120"/>
        <w:ind w:left="360"/>
        <w:contextualSpacing w:val="0"/>
        <w:rPr>
          <w:rFonts w:ascii="Book Antiqua" w:hAnsi="Book Antiqua" w:cstheme="minorHAnsi"/>
          <w:szCs w:val="26"/>
        </w:rPr>
      </w:pPr>
      <w:r w:rsidRPr="00E013FB">
        <w:rPr>
          <w:rFonts w:ascii="Book Antiqua" w:hAnsi="Book Antiqua" w:cstheme="minorHAnsi"/>
          <w:szCs w:val="26"/>
        </w:rPr>
        <w:t xml:space="preserve">The WSD may phase in elements of the proposed Safety Culture Assessment and may deploy a streamlined Safety Culture Assessment for SMJUs/ITOs as set forth in Attachment 4.   </w:t>
      </w:r>
    </w:p>
    <w:p w:rsidRPr="00E013FB" w:rsidR="00433A26" w:rsidP="00BC5995" w:rsidRDefault="0078369D" w14:paraId="3F69359E" w14:textId="18C8BED4">
      <w:pPr>
        <w:pStyle w:val="ListParagraph"/>
        <w:numPr>
          <w:ilvl w:val="0"/>
          <w:numId w:val="30"/>
        </w:numPr>
        <w:spacing w:after="120"/>
        <w:ind w:left="360"/>
        <w:contextualSpacing w:val="0"/>
        <w:rPr>
          <w:rFonts w:ascii="Book Antiqua" w:hAnsi="Book Antiqua" w:cstheme="minorHAnsi"/>
          <w:szCs w:val="26"/>
        </w:rPr>
      </w:pPr>
      <w:r w:rsidRPr="00E013FB">
        <w:rPr>
          <w:rFonts w:ascii="Book Antiqua" w:hAnsi="Book Antiqua" w:cstheme="minorHAnsi"/>
          <w:szCs w:val="26"/>
        </w:rPr>
        <w:t xml:space="preserve">The Attachments to this Resolution reasonably address the requirements of §§ 8386(d)(1), (2) and (4).  </w:t>
      </w:r>
    </w:p>
    <w:p w:rsidRPr="00E013FB" w:rsidR="005F5ABD" w:rsidP="005F5ABD" w:rsidRDefault="005F5ABD" w14:paraId="5A52EA48" w14:textId="7BDD7558">
      <w:pPr>
        <w:pStyle w:val="Heading1"/>
        <w:rPr>
          <w:rFonts w:ascii="Book Antiqua" w:hAnsi="Book Antiqua" w:cstheme="minorHAnsi"/>
          <w:szCs w:val="26"/>
        </w:rPr>
      </w:pPr>
      <w:r w:rsidRPr="00E013FB">
        <w:rPr>
          <w:rFonts w:ascii="Book Antiqua" w:hAnsi="Book Antiqua" w:cstheme="minorHAnsi"/>
          <w:szCs w:val="26"/>
        </w:rPr>
        <w:t>Therefore, it is Ordered That:</w:t>
      </w:r>
    </w:p>
    <w:p w:rsidRPr="00E013FB" w:rsidR="009A6012" w:rsidP="003923D6" w:rsidRDefault="00143FA0" w14:paraId="7406383A" w14:textId="54B3C792">
      <w:pPr>
        <w:pStyle w:val="Standard"/>
        <w:numPr>
          <w:ilvl w:val="0"/>
          <w:numId w:val="37"/>
        </w:numPr>
        <w:spacing w:after="120"/>
        <w:ind w:left="360"/>
        <w:rPr>
          <w:rFonts w:cstheme="minorHAnsi"/>
          <w:szCs w:val="26"/>
        </w:rPr>
      </w:pPr>
      <w:r w:rsidRPr="00E013FB">
        <w:rPr>
          <w:rFonts w:cstheme="minorHAnsi"/>
          <w:szCs w:val="26"/>
        </w:rPr>
        <w:t xml:space="preserve">The contents in </w:t>
      </w:r>
      <w:r w:rsidRPr="00E013FB" w:rsidR="00541678">
        <w:rPr>
          <w:rFonts w:cstheme="minorHAnsi"/>
          <w:szCs w:val="26"/>
        </w:rPr>
        <w:t>Attachments</w:t>
      </w:r>
      <w:r w:rsidRPr="00E013FB" w:rsidR="00B02E43">
        <w:rPr>
          <w:rFonts w:cstheme="minorHAnsi"/>
          <w:szCs w:val="26"/>
        </w:rPr>
        <w:t xml:space="preserve"> </w:t>
      </w:r>
      <w:r w:rsidRPr="00E013FB" w:rsidR="001108DF">
        <w:rPr>
          <w:rFonts w:cstheme="minorHAnsi"/>
          <w:szCs w:val="26"/>
        </w:rPr>
        <w:t xml:space="preserve">1, 2.1, 2.2, 2.3, 2.4, 3, and 4 </w:t>
      </w:r>
      <w:r w:rsidRPr="00E013FB">
        <w:rPr>
          <w:rFonts w:cstheme="minorHAnsi"/>
          <w:szCs w:val="26"/>
        </w:rPr>
        <w:t xml:space="preserve">spell out electrical corporations’ obligations pursuant to Pub. Util. Code §§ 8386(d)(1), (2) and (4) </w:t>
      </w:r>
      <w:r w:rsidRPr="00E013FB" w:rsidR="00B02E43">
        <w:rPr>
          <w:rFonts w:cstheme="minorHAnsi"/>
          <w:szCs w:val="26"/>
        </w:rPr>
        <w:t xml:space="preserve">are </w:t>
      </w:r>
      <w:r w:rsidRPr="00E013FB">
        <w:rPr>
          <w:rFonts w:cstheme="minorHAnsi"/>
          <w:szCs w:val="26"/>
        </w:rPr>
        <w:t xml:space="preserve">hereby </w:t>
      </w:r>
      <w:r w:rsidRPr="00E013FB" w:rsidR="00B02E43">
        <w:rPr>
          <w:rFonts w:cstheme="minorHAnsi"/>
          <w:szCs w:val="26"/>
        </w:rPr>
        <w:t>adopted.</w:t>
      </w:r>
    </w:p>
    <w:p w:rsidRPr="00E013FB" w:rsidR="003754B5" w:rsidP="003923D6" w:rsidRDefault="00143FA0" w14:paraId="454827BB" w14:textId="77777777">
      <w:pPr>
        <w:pStyle w:val="Standard"/>
        <w:numPr>
          <w:ilvl w:val="0"/>
          <w:numId w:val="37"/>
        </w:numPr>
        <w:spacing w:after="120"/>
        <w:ind w:left="360"/>
        <w:rPr>
          <w:rFonts w:cstheme="minorHAnsi"/>
          <w:szCs w:val="26"/>
        </w:rPr>
      </w:pPr>
      <w:r w:rsidRPr="00E013FB">
        <w:rPr>
          <w:rFonts w:cstheme="minorHAnsi"/>
          <w:szCs w:val="26"/>
        </w:rPr>
        <w:lastRenderedPageBreak/>
        <w:t xml:space="preserve">Electrical corporations shall adhere to the requirements of this Resolution and its Attachments in their 2021 Wildfire Mitigation Plans.  </w:t>
      </w:r>
    </w:p>
    <w:p w:rsidRPr="00E013FB" w:rsidR="005F5ABD" w:rsidP="001E068E" w:rsidRDefault="005F5ABD" w14:paraId="627CA97B" w14:textId="50A4376A">
      <w:pPr>
        <w:pStyle w:val="Standard"/>
        <w:spacing w:after="0"/>
        <w:rPr>
          <w:rFonts w:cstheme="minorHAnsi"/>
          <w:szCs w:val="26"/>
        </w:rPr>
      </w:pPr>
      <w:r w:rsidRPr="00E013FB">
        <w:rPr>
          <w:rFonts w:cstheme="minorHAnsi"/>
          <w:szCs w:val="26"/>
        </w:rPr>
        <w:t>This Resolution is effective today.</w:t>
      </w:r>
    </w:p>
    <w:p w:rsidRPr="00E013FB" w:rsidR="001E068E" w:rsidP="001E068E" w:rsidRDefault="001E068E" w14:paraId="46EEACB5" w14:textId="77777777">
      <w:pPr>
        <w:pStyle w:val="Standard"/>
        <w:spacing w:after="0"/>
        <w:rPr>
          <w:rFonts w:cstheme="minorHAnsi"/>
          <w:szCs w:val="26"/>
        </w:rPr>
      </w:pPr>
    </w:p>
    <w:p w:rsidRPr="00E013FB" w:rsidR="005F5ABD" w:rsidP="001E068E" w:rsidRDefault="005F5ABD" w14:paraId="0F71ACBB" w14:textId="58A57097">
      <w:pPr>
        <w:pStyle w:val="Standard"/>
        <w:spacing w:after="0"/>
        <w:rPr>
          <w:rFonts w:cstheme="minorHAnsi"/>
          <w:snapToGrid w:val="0"/>
          <w:szCs w:val="26"/>
        </w:rPr>
      </w:pPr>
      <w:r w:rsidRPr="00E013FB">
        <w:rPr>
          <w:rFonts w:cstheme="minorHAnsi"/>
          <w:snapToGrid w:val="0"/>
          <w:szCs w:val="26"/>
        </w:rPr>
        <w:t>I certify that the foregoing resolution was duly introduced, passed and adopted at a conference of the Public Utilities Commission of the State of California held on</w:t>
      </w:r>
      <w:r w:rsidR="003923D6">
        <w:rPr>
          <w:rFonts w:cstheme="minorHAnsi"/>
          <w:snapToGrid w:val="0"/>
          <w:szCs w:val="26"/>
        </w:rPr>
        <w:t xml:space="preserve"> </w:t>
      </w:r>
      <w:r w:rsidR="004163B8">
        <w:rPr>
          <w:rFonts w:cstheme="minorHAnsi"/>
          <w:snapToGrid w:val="0"/>
          <w:szCs w:val="26"/>
        </w:rPr>
        <w:t>November 19, 2020</w:t>
      </w:r>
      <w:r w:rsidRPr="00E013FB">
        <w:rPr>
          <w:rFonts w:cstheme="minorHAnsi"/>
          <w:snapToGrid w:val="0"/>
          <w:szCs w:val="26"/>
        </w:rPr>
        <w:t>; the following Commissioners voting favorably thereon:</w:t>
      </w:r>
    </w:p>
    <w:p w:rsidRPr="00E013FB" w:rsidR="007446B6" w:rsidP="007446B6" w:rsidRDefault="007446B6" w14:paraId="00B0BCE0" w14:textId="174A9640">
      <w:pPr>
        <w:rPr>
          <w:rFonts w:cstheme="minorHAnsi"/>
          <w:szCs w:val="26"/>
        </w:rPr>
      </w:pPr>
    </w:p>
    <w:p w:rsidRPr="00E013FB" w:rsidR="007446B6" w:rsidP="007446B6" w:rsidRDefault="007446B6" w14:paraId="2372C38F" w14:textId="2F22DABE">
      <w:pPr>
        <w:rPr>
          <w:rFonts w:cstheme="minorHAnsi"/>
          <w:szCs w:val="26"/>
        </w:rPr>
      </w:pPr>
    </w:p>
    <w:tbl>
      <w:tblPr>
        <w:tblStyle w:val="TableGrid1"/>
        <w:tblW w:w="93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4254"/>
        <w:gridCol w:w="851"/>
        <w:gridCol w:w="4255"/>
      </w:tblGrid>
      <w:tr w:rsidRPr="00E013FB" w:rsidR="007446B6" w:rsidTr="007446B6" w14:paraId="7B64C36F" w14:textId="77777777">
        <w:trPr>
          <w:jc w:val="center"/>
        </w:trPr>
        <w:tc>
          <w:tcPr>
            <w:tcW w:w="3600" w:type="dxa"/>
          </w:tcPr>
          <w:p w:rsidRPr="00E013FB" w:rsidR="007446B6" w:rsidP="007446B6" w:rsidRDefault="007446B6" w14:paraId="604CB4C8" w14:textId="77777777">
            <w:pPr>
              <w:rPr>
                <w:rFonts w:cstheme="minorHAnsi"/>
                <w:szCs w:val="26"/>
              </w:rPr>
            </w:pPr>
          </w:p>
        </w:tc>
        <w:tc>
          <w:tcPr>
            <w:tcW w:w="720" w:type="dxa"/>
          </w:tcPr>
          <w:p w:rsidRPr="00E013FB" w:rsidR="007446B6" w:rsidP="007446B6" w:rsidRDefault="007446B6" w14:paraId="79C042EE" w14:textId="77777777">
            <w:pPr>
              <w:rPr>
                <w:rFonts w:cstheme="minorHAnsi"/>
                <w:szCs w:val="26"/>
              </w:rPr>
            </w:pPr>
          </w:p>
        </w:tc>
        <w:tc>
          <w:tcPr>
            <w:tcW w:w="3600" w:type="dxa"/>
            <w:tcBorders>
              <w:bottom w:val="single" w:color="auto" w:sz="4" w:space="0"/>
            </w:tcBorders>
          </w:tcPr>
          <w:p w:rsidRPr="00E013FB" w:rsidR="007446B6" w:rsidP="00615424" w:rsidRDefault="00615424" w14:paraId="5FD4A257" w14:textId="219B82FF">
            <w:pPr>
              <w:jc w:val="center"/>
              <w:rPr>
                <w:rFonts w:cstheme="minorHAnsi"/>
                <w:szCs w:val="26"/>
              </w:rPr>
            </w:pPr>
            <w:r>
              <w:rPr>
                <w:rFonts w:cstheme="minorHAnsi"/>
                <w:szCs w:val="26"/>
              </w:rPr>
              <w:t>/s/  RACHEL PETERSON</w:t>
            </w:r>
          </w:p>
        </w:tc>
      </w:tr>
      <w:tr w:rsidRPr="00E013FB" w:rsidR="007446B6" w:rsidTr="007446B6" w14:paraId="70C89889" w14:textId="77777777">
        <w:trPr>
          <w:jc w:val="center"/>
        </w:trPr>
        <w:tc>
          <w:tcPr>
            <w:tcW w:w="3600" w:type="dxa"/>
          </w:tcPr>
          <w:p w:rsidRPr="00E013FB" w:rsidR="007446B6" w:rsidP="007446B6" w:rsidRDefault="007446B6" w14:paraId="63AA85BD" w14:textId="77777777">
            <w:pPr>
              <w:rPr>
                <w:rFonts w:cstheme="minorHAnsi"/>
                <w:szCs w:val="26"/>
              </w:rPr>
            </w:pPr>
          </w:p>
        </w:tc>
        <w:tc>
          <w:tcPr>
            <w:tcW w:w="720" w:type="dxa"/>
          </w:tcPr>
          <w:p w:rsidRPr="00E013FB" w:rsidR="007446B6" w:rsidP="007446B6" w:rsidRDefault="007446B6" w14:paraId="1FD98CC9" w14:textId="77777777">
            <w:pPr>
              <w:rPr>
                <w:rFonts w:cstheme="minorHAnsi"/>
                <w:szCs w:val="26"/>
              </w:rPr>
            </w:pPr>
          </w:p>
        </w:tc>
        <w:tc>
          <w:tcPr>
            <w:tcW w:w="3600" w:type="dxa"/>
            <w:tcBorders>
              <w:top w:val="single" w:color="auto" w:sz="4" w:space="0"/>
            </w:tcBorders>
          </w:tcPr>
          <w:p w:rsidRPr="00E013FB" w:rsidR="007446B6" w:rsidP="007446B6" w:rsidRDefault="003923D6" w14:paraId="6BDBF811" w14:textId="31CB42AF">
            <w:pPr>
              <w:jc w:val="center"/>
              <w:rPr>
                <w:rFonts w:cstheme="minorHAnsi"/>
                <w:szCs w:val="26"/>
              </w:rPr>
            </w:pPr>
            <w:r>
              <w:rPr>
                <w:rFonts w:cstheme="minorHAnsi"/>
                <w:szCs w:val="26"/>
              </w:rPr>
              <w:t>Rachel Peterson</w:t>
            </w:r>
            <w:r>
              <w:rPr>
                <w:rFonts w:cstheme="minorHAnsi"/>
                <w:szCs w:val="26"/>
              </w:rPr>
              <w:br/>
              <w:t>Acting Executive Director</w:t>
            </w:r>
          </w:p>
        </w:tc>
      </w:tr>
    </w:tbl>
    <w:p w:rsidR="00C74010" w:rsidP="00615424" w:rsidRDefault="00C74010" w14:paraId="599D40DB" w14:textId="65FD42D5">
      <w:pPr>
        <w:widowControl w:val="0"/>
        <w:tabs>
          <w:tab w:val="left" w:pos="2160"/>
          <w:tab w:val="center" w:pos="3150"/>
          <w:tab w:val="left" w:pos="4770"/>
          <w:tab w:val="right" w:pos="8640"/>
        </w:tabs>
        <w:rPr>
          <w:rFonts w:cstheme="minorHAnsi"/>
          <w:szCs w:val="26"/>
          <w:lang w:val="en"/>
        </w:rPr>
      </w:pPr>
    </w:p>
    <w:p w:rsidR="00615424" w:rsidP="00615424" w:rsidRDefault="00615424" w14:paraId="3FF9C92F" w14:textId="6CA7E7D0">
      <w:pPr>
        <w:widowControl w:val="0"/>
        <w:tabs>
          <w:tab w:val="left" w:pos="2160"/>
          <w:tab w:val="center" w:pos="3150"/>
          <w:tab w:val="left" w:pos="3510"/>
          <w:tab w:val="left" w:pos="4770"/>
          <w:tab w:val="right" w:pos="8640"/>
        </w:tabs>
        <w:ind w:right="-450"/>
        <w:rPr>
          <w:rFonts w:cstheme="minorHAnsi"/>
          <w:szCs w:val="26"/>
          <w:lang w:val="en"/>
        </w:rPr>
      </w:pPr>
    </w:p>
    <w:p w:rsidRPr="00615424" w:rsidR="00615424" w:rsidP="00615424" w:rsidRDefault="00615424" w14:paraId="4C64866A" w14:textId="77777777">
      <w:pPr>
        <w:tabs>
          <w:tab w:val="left" w:pos="2160"/>
          <w:tab w:val="center" w:pos="3150"/>
          <w:tab w:val="left" w:pos="3510"/>
          <w:tab w:val="left" w:pos="4770"/>
        </w:tabs>
        <w:autoSpaceDE w:val="0"/>
        <w:autoSpaceDN w:val="0"/>
        <w:adjustRightInd w:val="0"/>
        <w:ind w:left="5490" w:right="-450"/>
        <w:jc w:val="both"/>
        <w:rPr>
          <w:rFonts w:eastAsia="Times New Roman" w:cs="Palatino"/>
          <w:szCs w:val="26"/>
        </w:rPr>
      </w:pPr>
      <w:bookmarkStart w:name="_Hlk17215919" w:id="3"/>
      <w:r w:rsidRPr="00615424">
        <w:rPr>
          <w:rFonts w:eastAsia="Times New Roman" w:cs="Courier New"/>
          <w:szCs w:val="26"/>
        </w:rPr>
        <w:t>MARYBEL BATJER</w:t>
      </w:r>
    </w:p>
    <w:p w:rsidRPr="00615424" w:rsidR="00615424" w:rsidP="00615424" w:rsidRDefault="00615424" w14:paraId="47857C8E" w14:textId="4176DF7D">
      <w:pPr>
        <w:tabs>
          <w:tab w:val="left" w:pos="2160"/>
          <w:tab w:val="center" w:pos="3150"/>
          <w:tab w:val="left" w:pos="3510"/>
          <w:tab w:val="left" w:pos="4770"/>
        </w:tabs>
        <w:autoSpaceDE w:val="0"/>
        <w:autoSpaceDN w:val="0"/>
        <w:adjustRightInd w:val="0"/>
        <w:ind w:left="5490" w:right="-450" w:firstLine="720"/>
        <w:jc w:val="both"/>
        <w:rPr>
          <w:rFonts w:eastAsia="Times New Roman" w:cs="Palatino"/>
          <w:szCs w:val="26"/>
        </w:rPr>
      </w:pPr>
      <w:r w:rsidRPr="00615424">
        <w:rPr>
          <w:rFonts w:eastAsia="Times New Roman" w:cs="Palatino"/>
          <w:szCs w:val="26"/>
        </w:rPr>
        <w:t xml:space="preserve">             President</w:t>
      </w:r>
    </w:p>
    <w:p w:rsidRPr="00615424" w:rsidR="00615424" w:rsidP="00615424" w:rsidRDefault="00615424" w14:paraId="67082A93" w14:textId="77777777">
      <w:pPr>
        <w:tabs>
          <w:tab w:val="left" w:pos="2160"/>
          <w:tab w:val="center" w:pos="3150"/>
          <w:tab w:val="left" w:pos="3510"/>
          <w:tab w:val="left" w:pos="4770"/>
        </w:tabs>
        <w:autoSpaceDE w:val="0"/>
        <w:autoSpaceDN w:val="0"/>
        <w:adjustRightInd w:val="0"/>
        <w:ind w:left="5490" w:right="-450"/>
        <w:jc w:val="both"/>
        <w:rPr>
          <w:rFonts w:eastAsia="Times New Roman" w:cs="Courier New"/>
          <w:szCs w:val="26"/>
        </w:rPr>
      </w:pPr>
      <w:r w:rsidRPr="00615424">
        <w:rPr>
          <w:rFonts w:eastAsia="Times New Roman" w:cs="Courier New"/>
          <w:szCs w:val="26"/>
        </w:rPr>
        <w:t>LIANE M. RANDOLPH</w:t>
      </w:r>
    </w:p>
    <w:p w:rsidRPr="00615424" w:rsidR="00615424" w:rsidP="00615424" w:rsidRDefault="00615424" w14:paraId="3F56452F" w14:textId="77777777">
      <w:pPr>
        <w:tabs>
          <w:tab w:val="left" w:pos="2160"/>
          <w:tab w:val="center" w:pos="3150"/>
          <w:tab w:val="left" w:pos="3510"/>
          <w:tab w:val="left" w:pos="4770"/>
        </w:tabs>
        <w:autoSpaceDE w:val="0"/>
        <w:autoSpaceDN w:val="0"/>
        <w:adjustRightInd w:val="0"/>
        <w:ind w:left="5490" w:right="-450"/>
        <w:jc w:val="both"/>
        <w:rPr>
          <w:rFonts w:eastAsia="Times New Roman" w:cs="Arial"/>
          <w:sz w:val="28"/>
          <w:szCs w:val="28"/>
        </w:rPr>
      </w:pPr>
      <w:r w:rsidRPr="00615424">
        <w:rPr>
          <w:rFonts w:eastAsia="Times New Roman" w:cs="Arial"/>
          <w:sz w:val="28"/>
          <w:szCs w:val="28"/>
        </w:rPr>
        <w:t>MARTHA GUZMAN ACEVES</w:t>
      </w:r>
    </w:p>
    <w:p w:rsidRPr="00615424" w:rsidR="00615424" w:rsidP="00615424" w:rsidRDefault="00615424" w14:paraId="6BA8F89C" w14:textId="77777777">
      <w:pPr>
        <w:tabs>
          <w:tab w:val="left" w:pos="2160"/>
          <w:tab w:val="center" w:pos="3150"/>
          <w:tab w:val="left" w:pos="3510"/>
          <w:tab w:val="left" w:pos="4770"/>
        </w:tabs>
        <w:autoSpaceDE w:val="0"/>
        <w:autoSpaceDN w:val="0"/>
        <w:adjustRightInd w:val="0"/>
        <w:ind w:left="5490" w:right="-450"/>
        <w:jc w:val="both"/>
        <w:rPr>
          <w:rFonts w:eastAsia="Times New Roman" w:cs="Arial"/>
          <w:sz w:val="28"/>
          <w:szCs w:val="28"/>
        </w:rPr>
      </w:pPr>
      <w:r w:rsidRPr="00615424">
        <w:rPr>
          <w:rFonts w:eastAsia="Times New Roman" w:cs="Arial"/>
          <w:sz w:val="28"/>
          <w:szCs w:val="28"/>
        </w:rPr>
        <w:t>CLIFFORD RECHTSCHAFFEN</w:t>
      </w:r>
    </w:p>
    <w:p w:rsidRPr="00615424" w:rsidR="00615424" w:rsidP="00615424" w:rsidRDefault="00615424" w14:paraId="4C565F06" w14:textId="77777777">
      <w:pPr>
        <w:tabs>
          <w:tab w:val="left" w:pos="2160"/>
          <w:tab w:val="center" w:pos="3150"/>
          <w:tab w:val="left" w:pos="3510"/>
          <w:tab w:val="left" w:pos="4770"/>
        </w:tabs>
        <w:autoSpaceDE w:val="0"/>
        <w:autoSpaceDN w:val="0"/>
        <w:adjustRightInd w:val="0"/>
        <w:ind w:left="5490" w:right="-450"/>
        <w:jc w:val="both"/>
        <w:rPr>
          <w:rFonts w:eastAsia="Times New Roman" w:cs="Arial"/>
          <w:sz w:val="28"/>
          <w:szCs w:val="28"/>
        </w:rPr>
      </w:pPr>
      <w:r w:rsidRPr="00615424">
        <w:rPr>
          <w:rFonts w:eastAsia="Times New Roman" w:cs="Arial"/>
          <w:sz w:val="28"/>
          <w:szCs w:val="28"/>
        </w:rPr>
        <w:t>GENEVIEVE SHIROMA</w:t>
      </w:r>
    </w:p>
    <w:p w:rsidRPr="00615424" w:rsidR="00615424" w:rsidP="00615424" w:rsidRDefault="00615424" w14:paraId="288847D1" w14:textId="77777777">
      <w:pPr>
        <w:tabs>
          <w:tab w:val="left" w:pos="2160"/>
          <w:tab w:val="center" w:pos="3150"/>
          <w:tab w:val="left" w:pos="3510"/>
          <w:tab w:val="left" w:pos="4770"/>
        </w:tabs>
        <w:autoSpaceDE w:val="0"/>
        <w:autoSpaceDN w:val="0"/>
        <w:adjustRightInd w:val="0"/>
        <w:ind w:left="5490" w:right="-450" w:firstLine="720"/>
        <w:jc w:val="both"/>
        <w:rPr>
          <w:rFonts w:eastAsia="Times New Roman" w:cs="Palatino"/>
          <w:szCs w:val="26"/>
        </w:rPr>
      </w:pPr>
      <w:r w:rsidRPr="00615424">
        <w:rPr>
          <w:rFonts w:eastAsia="Times New Roman" w:cs="Palatino"/>
          <w:szCs w:val="26"/>
        </w:rPr>
        <w:t xml:space="preserve">                 Commissioners</w:t>
      </w:r>
    </w:p>
    <w:bookmarkEnd w:id="3"/>
    <w:p w:rsidRPr="00E013FB" w:rsidR="00615424" w:rsidP="002D1B25" w:rsidRDefault="00615424" w14:paraId="00750B4E" w14:textId="77777777">
      <w:pPr>
        <w:widowControl w:val="0"/>
        <w:tabs>
          <w:tab w:val="center" w:pos="4320"/>
          <w:tab w:val="right" w:pos="8640"/>
        </w:tabs>
        <w:rPr>
          <w:rFonts w:cstheme="minorHAnsi"/>
          <w:szCs w:val="26"/>
          <w:lang w:val="en"/>
        </w:rPr>
      </w:pPr>
    </w:p>
    <w:sectPr w:rsidRPr="00E013FB" w:rsidR="00615424" w:rsidSect="002D1B25">
      <w:headerReference w:type="default" r:id="rId14"/>
      <w:footerReference w:type="default" r:id="rId15"/>
      <w:headerReference w:type="first" r:id="rId16"/>
      <w:footerReference w:type="first" r:id="rId17"/>
      <w:pgSz w:w="12240" w:h="15840"/>
      <w:pgMar w:top="1080" w:right="1440" w:bottom="1440" w:left="1440" w:header="720" w:footer="720" w:gutter="0"/>
      <w:pgNumType w:start="1"/>
      <w:cols w:space="720"/>
      <w:titlePg/>
      <w:docGrid w:linePitch="360"/>
    </w:sectPr>
    <w:p>
      <w:r>
        <w:t xml:space="preserve"/>
      </w:r>
    </w:p>
    <w:p>
      <w:r>
        <w:t xml:space="preserve">Attachment 1: </w:t>
      </w:r>
    </w:p>
    <w:p>
      <w:hyperlink w:history="true" r:id="R850bc18654d1476a">
        <w:r w:rsidRPr="00CB1292">
          <w:rPr>
            <w:rStyle w:val="Hyperlink"/>
            <w:color w:val="2E74B5" w:themeColor="accent1" w:themeShade="BF"/>
            <w:u w:val="single"/>
          </w:rPr>
          <w:t>WSD-011 Attachments (FINAL).pdf</w:t>
        </w:r>
      </w:hyperlink>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CE316" w14:textId="77777777" w:rsidR="002D1B25" w:rsidRDefault="002D1B25" w:rsidP="0098138E">
      <w:r>
        <w:separator/>
      </w:r>
    </w:p>
  </w:endnote>
  <w:endnote w:type="continuationSeparator" w:id="0">
    <w:p w14:paraId="710DFC22" w14:textId="77777777" w:rsidR="002D1B25" w:rsidRDefault="002D1B25" w:rsidP="00981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4D"/>
    <w:family w:val="auto"/>
    <w:pitch w:val="variable"/>
    <w:sig w:usb0="A00002FF" w:usb1="7800205A" w:usb2="14600000" w:usb3="00000000" w:csb0="00000193"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81BDD" w14:textId="77777777" w:rsidR="00B72BA6" w:rsidRDefault="00B72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3431255"/>
      <w:docPartObj>
        <w:docPartGallery w:val="Page Numbers (Bottom of Page)"/>
        <w:docPartUnique/>
      </w:docPartObj>
    </w:sdtPr>
    <w:sdtEndPr>
      <w:rPr>
        <w:noProof/>
      </w:rPr>
    </w:sdtEndPr>
    <w:sdtContent>
      <w:p w14:paraId="3AC09D69" w14:textId="77777777" w:rsidR="002D1B25" w:rsidRDefault="002D1B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8B56F" w14:textId="7A5B6DE4" w:rsidR="002D1B25" w:rsidRDefault="00B72BA6" w:rsidP="00B21B8B">
    <w:pPr>
      <w:pStyle w:val="Footer"/>
    </w:pPr>
    <w:r w:rsidRPr="00B72BA6">
      <w:rPr>
        <w:sz w:val="18"/>
        <w:szCs w:val="18"/>
      </w:rPr>
      <w:t>352490594</w:t>
    </w:r>
    <w:r w:rsidR="002D1B25">
      <w:tab/>
    </w:r>
    <w:sdt>
      <w:sdtPr>
        <w:id w:val="1558519796"/>
        <w:docPartObj>
          <w:docPartGallery w:val="Page Numbers (Bottom of Page)"/>
          <w:docPartUnique/>
        </w:docPartObj>
      </w:sdtPr>
      <w:sdtEndPr>
        <w:rPr>
          <w:noProof/>
        </w:rPr>
      </w:sdtEndPr>
      <w:sdtContent>
        <w:r w:rsidR="002D1B25">
          <w:fldChar w:fldCharType="begin"/>
        </w:r>
        <w:r w:rsidR="002D1B25">
          <w:instrText xml:space="preserve"> PAGE   \* MERGEFORMAT </w:instrText>
        </w:r>
        <w:r w:rsidR="002D1B25">
          <w:fldChar w:fldCharType="separate"/>
        </w:r>
        <w:r w:rsidR="002D1B25">
          <w:rPr>
            <w:noProof/>
          </w:rPr>
          <w:t>2</w:t>
        </w:r>
        <w:r w:rsidR="002D1B25">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54AAD" w14:textId="2BCE7D28" w:rsidR="002D1B25" w:rsidRDefault="002D1B25" w:rsidP="00012291">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582760"/>
      <w:docPartObj>
        <w:docPartGallery w:val="Page Numbers (Bottom of Page)"/>
        <w:docPartUnique/>
      </w:docPartObj>
    </w:sdtPr>
    <w:sdtEndPr>
      <w:rPr>
        <w:noProof/>
      </w:rPr>
    </w:sdtEndPr>
    <w:sdtContent>
      <w:p w14:paraId="3F3AD0F4" w14:textId="60D092B9" w:rsidR="002D1B25" w:rsidRPr="00AF05B7" w:rsidRDefault="002D1B25" w:rsidP="00797F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60ECD" w14:textId="77777777" w:rsidR="002D1B25" w:rsidRDefault="002D1B25" w:rsidP="00DF58E7">
      <w:r>
        <w:separator/>
      </w:r>
    </w:p>
  </w:footnote>
  <w:footnote w:type="continuationSeparator" w:id="0">
    <w:p w14:paraId="5F465DA5" w14:textId="77777777" w:rsidR="002D1B25" w:rsidRDefault="002D1B25" w:rsidP="00DF58E7">
      <w:r>
        <w:continuationSeparator/>
      </w:r>
    </w:p>
  </w:footnote>
  <w:footnote w:type="continuationNotice" w:id="1">
    <w:p w14:paraId="3381E8AD" w14:textId="77777777" w:rsidR="002D1B25" w:rsidRPr="00DF58E7" w:rsidRDefault="002D1B25" w:rsidP="00DF58E7">
      <w:pPr>
        <w:jc w:val="right"/>
        <w:rPr>
          <w:i/>
          <w:sz w:val="22"/>
        </w:rPr>
      </w:pPr>
      <w:r w:rsidRPr="00DF58E7">
        <w:rPr>
          <w:i/>
          <w:sz w:val="22"/>
        </w:rPr>
        <w:t>Footnote continued on next page.</w:t>
      </w:r>
    </w:p>
  </w:footnote>
  <w:footnote w:id="2">
    <w:p w14:paraId="7D93FEDE" w14:textId="53865CED" w:rsidR="002D1B25" w:rsidRPr="00E013FB" w:rsidRDefault="002D1B25">
      <w:pPr>
        <w:pStyle w:val="FootnoteText"/>
        <w:rPr>
          <w:rFonts w:cstheme="minorHAnsi"/>
          <w:szCs w:val="22"/>
        </w:rPr>
      </w:pPr>
      <w:r w:rsidRPr="00E013FB">
        <w:rPr>
          <w:rStyle w:val="FootnoteReference"/>
          <w:rFonts w:cstheme="minorHAnsi"/>
          <w:szCs w:val="22"/>
        </w:rPr>
        <w:footnoteRef/>
      </w:r>
      <w:r w:rsidRPr="00E013FB">
        <w:rPr>
          <w:rFonts w:cstheme="minorHAnsi"/>
          <w:szCs w:val="22"/>
        </w:rPr>
        <w:t xml:space="preserve"> </w:t>
      </w:r>
      <w:r>
        <w:rPr>
          <w:rFonts w:cstheme="minorHAnsi"/>
          <w:szCs w:val="22"/>
        </w:rPr>
        <w:t xml:space="preserve"> </w:t>
      </w:r>
      <w:r w:rsidRPr="00E013FB">
        <w:rPr>
          <w:rFonts w:cstheme="minorHAnsi"/>
          <w:szCs w:val="22"/>
        </w:rPr>
        <w:t>All statutory reference are to the Public Utilities Code.  Subsection (d)(3) relates to compliance and is addressed in a separate Resolution.</w:t>
      </w:r>
    </w:p>
  </w:footnote>
  <w:footnote w:id="3">
    <w:p w14:paraId="54BD23E7" w14:textId="69FB0F06" w:rsidR="002D1B25" w:rsidRPr="00AF2C94" w:rsidRDefault="002D1B25" w:rsidP="00AF2C94">
      <w:pPr>
        <w:pStyle w:val="FootnoteText"/>
        <w:rPr>
          <w:rFonts w:cstheme="minorHAnsi"/>
          <w:szCs w:val="22"/>
        </w:rPr>
      </w:pPr>
      <w:r w:rsidRPr="00AF2C94">
        <w:rPr>
          <w:rStyle w:val="FootnoteReference"/>
          <w:rFonts w:cstheme="minorHAnsi"/>
          <w:b/>
          <w:bCs/>
          <w:szCs w:val="22"/>
        </w:rPr>
        <w:footnoteRef/>
      </w:r>
      <w:r w:rsidRPr="00AF2C94">
        <w:rPr>
          <w:rFonts w:cstheme="minorHAnsi"/>
          <w:szCs w:val="22"/>
        </w:rPr>
        <w:t xml:space="preserve"> </w:t>
      </w:r>
      <w:r>
        <w:rPr>
          <w:rFonts w:cstheme="minorHAnsi"/>
          <w:szCs w:val="22"/>
        </w:rPr>
        <w:t xml:space="preserve">  </w:t>
      </w:r>
      <w:r w:rsidRPr="00AF2C94">
        <w:rPr>
          <w:rFonts w:cstheme="minorHAnsi"/>
          <w:szCs w:val="22"/>
        </w:rPr>
        <w:t xml:space="preserve">Recommendations on the 2021 Wildfire Mitigation Plan Guidelines, Performance Metrics, and Safety Culture, June 24, 2020. </w:t>
      </w:r>
      <w:hyperlink r:id="rId1" w:history="1">
        <w:r w:rsidRPr="00E73A60">
          <w:rPr>
            <w:rStyle w:val="Hyperlink"/>
            <w:rFonts w:cstheme="minorHAnsi"/>
            <w:szCs w:val="22"/>
          </w:rPr>
          <w:t>https://www.cpuc.ca.gov/uploadedFiles/CPUCWebsite/Content/About_Us/Organization/Divisions/WSD/WSAB%20Recommendations%20on%202021%20WMP%20Guidelines%20APPROVED%20CONCURRENCES%206.24.2020.pdf</w:t>
        </w:r>
      </w:hyperlink>
      <w:r>
        <w:rPr>
          <w:rFonts w:cstheme="minorHAnsi"/>
          <w:szCs w:val="22"/>
        </w:rPr>
        <w:t xml:space="preserve"> </w:t>
      </w:r>
    </w:p>
  </w:footnote>
  <w:footnote w:id="4">
    <w:p w14:paraId="657A63DF" w14:textId="180E57AD" w:rsidR="002D1B25" w:rsidRDefault="002D1B25">
      <w:pPr>
        <w:pStyle w:val="FootnoteText"/>
      </w:pPr>
      <w:r>
        <w:rPr>
          <w:rStyle w:val="FootnoteReference"/>
        </w:rPr>
        <w:footnoteRef/>
      </w:r>
      <w:r>
        <w:t xml:space="preserve"> BVES resubmitted it’s 2020 WMP on September 18, 2020; it is currently under review. </w:t>
      </w:r>
    </w:p>
  </w:footnote>
  <w:footnote w:id="5">
    <w:p w14:paraId="09F899F4" w14:textId="69B2708E" w:rsidR="002D1B25" w:rsidRPr="00AF2C94" w:rsidRDefault="002D1B25">
      <w:pPr>
        <w:pStyle w:val="FootnoteText"/>
        <w:rPr>
          <w:rFonts w:cstheme="minorHAnsi"/>
        </w:rPr>
      </w:pPr>
      <w:r w:rsidRPr="00AF2C94">
        <w:rPr>
          <w:rStyle w:val="FootnoteReference"/>
          <w:rFonts w:cstheme="minorHAnsi"/>
        </w:rPr>
        <w:footnoteRef/>
      </w:r>
      <w:r w:rsidRPr="00AF2C94">
        <w:rPr>
          <w:rFonts w:cstheme="minorHAnsi"/>
        </w:rPr>
        <w:t xml:space="preserve">  The following stakeholders submitted comments: William Abrams, Public Advocates Office, California </w:t>
      </w:r>
      <w:r>
        <w:rPr>
          <w:rFonts w:cstheme="minorHAnsi"/>
        </w:rPr>
        <w:t xml:space="preserve">Association of </w:t>
      </w:r>
      <w:r w:rsidRPr="00AF2C94">
        <w:rPr>
          <w:rFonts w:cstheme="minorHAnsi"/>
        </w:rPr>
        <w:t>Small &amp; Multi-</w:t>
      </w:r>
      <w:r>
        <w:rPr>
          <w:rFonts w:cstheme="minorHAnsi"/>
        </w:rPr>
        <w:t>J</w:t>
      </w:r>
      <w:r w:rsidRPr="00AF2C94">
        <w:rPr>
          <w:rFonts w:cstheme="minorHAnsi"/>
        </w:rPr>
        <w:t xml:space="preserve">urisdictional Utilities, CTIA, Coalition of </w:t>
      </w:r>
      <w:r>
        <w:rPr>
          <w:rFonts w:cstheme="minorHAnsi"/>
        </w:rPr>
        <w:t xml:space="preserve">California </w:t>
      </w:r>
      <w:r w:rsidRPr="00AF2C94">
        <w:rPr>
          <w:rFonts w:cstheme="minorHAnsi"/>
        </w:rPr>
        <w:t xml:space="preserve">Utility Employees, Green Power Institute, Mussey Grade Road Alliance, Protect Our Communities Foundation, Pacific Gas </w:t>
      </w:r>
      <w:r>
        <w:rPr>
          <w:rFonts w:cstheme="minorHAnsi"/>
        </w:rPr>
        <w:t>and</w:t>
      </w:r>
      <w:r w:rsidRPr="00AF2C94">
        <w:rPr>
          <w:rFonts w:cstheme="minorHAnsi"/>
        </w:rPr>
        <w:t xml:space="preserve"> Electric, Rural County Representatives of California, San Diego Gas &amp; Electric, Southern California Edison, and The Utility R</w:t>
      </w:r>
      <w:r>
        <w:rPr>
          <w:rFonts w:cstheme="minorHAnsi"/>
        </w:rPr>
        <w:t>eform</w:t>
      </w:r>
      <w:r w:rsidRPr="00AF2C94">
        <w:rPr>
          <w:rFonts w:cstheme="minorHAnsi"/>
        </w:rPr>
        <w:t xml:space="preserve"> Network (TURN).</w:t>
      </w:r>
    </w:p>
  </w:footnote>
  <w:footnote w:id="6">
    <w:p w14:paraId="498D64F7" w14:textId="77777777" w:rsidR="002D1B25" w:rsidRPr="004E364B" w:rsidRDefault="002D1B25" w:rsidP="00846122">
      <w:pPr>
        <w:pStyle w:val="Footer"/>
        <w:rPr>
          <w:rFonts w:asciiTheme="minorHAnsi" w:hAnsiTheme="minorHAnsi" w:cstheme="minorHAnsi"/>
        </w:rPr>
      </w:pPr>
      <w:r w:rsidRPr="004E364B">
        <w:rPr>
          <w:rStyle w:val="FootnoteReference"/>
          <w:rFonts w:asciiTheme="minorHAnsi" w:hAnsiTheme="minorHAnsi" w:cstheme="minorHAnsi"/>
          <w:sz w:val="20"/>
          <w:szCs w:val="20"/>
        </w:rPr>
        <w:footnoteRef/>
      </w:r>
      <w:r w:rsidRPr="004E364B">
        <w:rPr>
          <w:rFonts w:asciiTheme="minorHAnsi" w:hAnsiTheme="minorHAnsi" w:cstheme="minorHAnsi"/>
          <w:sz w:val="20"/>
          <w:szCs w:val="20"/>
        </w:rPr>
        <w:t>Cost-reasonableness review is statutorily precluded for the WMP. 2021 WMP guideline recommendations intend to identify each electrical corporation’s ratepayer cost increases for implementing its WMP programs and initiatives.</w:t>
      </w:r>
    </w:p>
  </w:footnote>
  <w:footnote w:id="7">
    <w:p w14:paraId="5F64D1DC" w14:textId="0B6ED6B5" w:rsidR="002D1B25" w:rsidRPr="00AF2C94" w:rsidRDefault="002D1B25">
      <w:pPr>
        <w:pStyle w:val="FootnoteText"/>
        <w:rPr>
          <w:rFonts w:cstheme="minorHAnsi"/>
        </w:rPr>
      </w:pPr>
      <w:r w:rsidRPr="00AF2C94">
        <w:rPr>
          <w:rStyle w:val="FootnoteReference"/>
          <w:rFonts w:cstheme="minorHAnsi"/>
        </w:rPr>
        <w:footnoteRef/>
      </w:r>
      <w:r w:rsidRPr="00AF2C94">
        <w:rPr>
          <w:rFonts w:cstheme="minorHAnsi"/>
        </w:rPr>
        <w:t xml:space="preserve"> </w:t>
      </w:r>
      <w:r>
        <w:rPr>
          <w:rFonts w:cstheme="minorHAnsi"/>
        </w:rPr>
        <w:t xml:space="preserve"> </w:t>
      </w:r>
      <w:r w:rsidRPr="00AF2C94">
        <w:rPr>
          <w:rFonts w:cstheme="minorHAnsi"/>
        </w:rPr>
        <w:t>Non-spatial data refers to the tables embedded in the WMP Guidelines embedded in Attachment 2.2.</w:t>
      </w:r>
    </w:p>
  </w:footnote>
  <w:footnote w:id="8">
    <w:p w14:paraId="5CFC1259" w14:textId="3E245683" w:rsidR="002D1B25" w:rsidRPr="003923D6" w:rsidRDefault="002D1B25">
      <w:pPr>
        <w:pStyle w:val="FootnoteText"/>
        <w:rPr>
          <w:rFonts w:cstheme="minorHAnsi"/>
        </w:rPr>
      </w:pPr>
      <w:r w:rsidRPr="003923D6">
        <w:rPr>
          <w:rStyle w:val="FootnoteReference"/>
          <w:rFonts w:cstheme="minorHAnsi"/>
        </w:rPr>
        <w:footnoteRef/>
      </w:r>
      <w:r w:rsidRPr="003923D6">
        <w:rPr>
          <w:rFonts w:cstheme="minorHAnsi"/>
        </w:rPr>
        <w:t xml:space="preserve"> </w:t>
      </w:r>
      <w:r>
        <w:rPr>
          <w:rFonts w:cstheme="minorHAnsi"/>
        </w:rPr>
        <w:t xml:space="preserve"> </w:t>
      </w:r>
      <w:r w:rsidRPr="003923D6">
        <w:rPr>
          <w:rFonts w:cstheme="minorHAnsi"/>
        </w:rPr>
        <w:t xml:space="preserve">In accordance with </w:t>
      </w:r>
      <w:r w:rsidRPr="003923D6">
        <w:rPr>
          <w:rFonts w:cstheme="minorHAnsi"/>
          <w:szCs w:val="26"/>
        </w:rPr>
        <w:t xml:space="preserve">§ </w:t>
      </w:r>
      <w:r w:rsidRPr="003923D6">
        <w:rPr>
          <w:rFonts w:cstheme="minorHAnsi"/>
        </w:rPr>
        <w:t>8389</w:t>
      </w:r>
      <w:r>
        <w:rPr>
          <w:rFonts w:cstheme="minorHAnsi"/>
        </w:rPr>
        <w:t xml:space="preserve"> (d)</w:t>
      </w:r>
      <w:r w:rsidRPr="003923D6">
        <w:rPr>
          <w:rFonts w:cstheme="minorHAnsi"/>
        </w:rPr>
        <w:t>, the Commission is required to annually approve the WSD’s recommendations on WMP requirements among other things. Traditionally, the schedule for WMPs requires an early February submittal – providing approximately two months between Commission approval of WMP requirements and the filing deadline.</w:t>
      </w:r>
    </w:p>
  </w:footnote>
  <w:footnote w:id="9">
    <w:p w14:paraId="5ED2F60B" w14:textId="0BFB4A41" w:rsidR="002D1B25" w:rsidRPr="003923D6" w:rsidRDefault="002D1B25" w:rsidP="003923D6">
      <w:pPr>
        <w:pStyle w:val="Default"/>
        <w:spacing w:after="120"/>
        <w:rPr>
          <w:rFonts w:ascii="Book Antiqua" w:hAnsi="Book Antiqua" w:cstheme="minorHAnsi"/>
          <w:sz w:val="22"/>
          <w:szCs w:val="22"/>
        </w:rPr>
      </w:pPr>
      <w:r w:rsidRPr="003923D6">
        <w:rPr>
          <w:rStyle w:val="FootnoteReference"/>
          <w:rFonts w:ascii="Book Antiqua" w:hAnsi="Book Antiqua" w:cstheme="minorHAnsi"/>
          <w:sz w:val="22"/>
          <w:szCs w:val="22"/>
        </w:rPr>
        <w:footnoteRef/>
      </w:r>
      <w:r w:rsidRPr="003923D6">
        <w:rPr>
          <w:rFonts w:ascii="Book Antiqua" w:hAnsi="Book Antiqua" w:cstheme="minorHAnsi"/>
          <w:sz w:val="22"/>
          <w:szCs w:val="22"/>
        </w:rPr>
        <w:t xml:space="preserve"> </w:t>
      </w:r>
      <w:r>
        <w:rPr>
          <w:rFonts w:ascii="Book Antiqua" w:hAnsi="Book Antiqua" w:cstheme="minorHAnsi"/>
          <w:sz w:val="22"/>
          <w:szCs w:val="22"/>
        </w:rPr>
        <w:t xml:space="preserve"> </w:t>
      </w:r>
      <w:r w:rsidRPr="003923D6">
        <w:rPr>
          <w:rFonts w:ascii="Book Antiqua" w:hAnsi="Book Antiqua" w:cstheme="minorHAnsi"/>
          <w:sz w:val="22"/>
          <w:szCs w:val="22"/>
        </w:rPr>
        <w:t>“In calendar year 2020, and thereafter, the plan shall cover at least a three-year period. The division shall establish a schedule for the submission of subsequent comprehensive wildfire mitigation plans, which may allow for the staggering of compliance periods for each electrical corporation. In its discretion, the division may allow the annual submissions to be updates to the last approved comprehensive wildfire mitigation plan; provided, that each electrical corporation shall submit a comprehensive wildfire mitigation plan at least once every three years.”</w:t>
      </w:r>
    </w:p>
  </w:footnote>
  <w:footnote w:id="10">
    <w:p w14:paraId="66E1EFF4" w14:textId="75DF5E37" w:rsidR="002D1B25" w:rsidRDefault="002D1B25">
      <w:pPr>
        <w:pStyle w:val="FootnoteText"/>
      </w:pPr>
      <w:r>
        <w:rPr>
          <w:rStyle w:val="FootnoteReference"/>
        </w:rPr>
        <w:footnoteRef/>
      </w:r>
      <w:r>
        <w:t xml:space="preserve"> Any stakeholder may submit reply comments.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8B5C3" w14:textId="77777777" w:rsidR="00B72BA6" w:rsidRDefault="00B72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3441B" w14:textId="29B3221A" w:rsidR="002D1B25" w:rsidRPr="001E068E" w:rsidRDefault="002D1B25" w:rsidP="002D1B25">
    <w:pPr>
      <w:rPr>
        <w:rFonts w:cs="Times New Roman"/>
        <w:b/>
        <w:bCs/>
        <w:szCs w:val="26"/>
      </w:rPr>
    </w:pPr>
    <w:r>
      <w:rPr>
        <w:rFonts w:cs="Times New Roman"/>
        <w:szCs w:val="26"/>
      </w:rPr>
      <w:t>Resolution WSD-011  WSD/CJT/gp2</w:t>
    </w:r>
    <w:r>
      <w:rPr>
        <w:rFonts w:cs="Times New Roman"/>
        <w:b/>
        <w:bCs/>
        <w:szCs w:val="26"/>
      </w:rPr>
      <w:tab/>
    </w:r>
    <w:r>
      <w:rPr>
        <w:rFonts w:cs="Times New Roman"/>
        <w:b/>
        <w:bCs/>
        <w:szCs w:val="26"/>
      </w:rPr>
      <w:tab/>
    </w:r>
    <w:r>
      <w:rPr>
        <w:rFonts w:cs="Times New Roman"/>
        <w:b/>
        <w:bCs/>
        <w:szCs w:val="26"/>
      </w:rPr>
      <w:tab/>
    </w:r>
    <w:r>
      <w:rPr>
        <w:rFonts w:cs="Times New Roman"/>
        <w:b/>
        <w:bCs/>
        <w:szCs w:val="26"/>
      </w:rPr>
      <w:tab/>
    </w:r>
    <w:r>
      <w:rPr>
        <w:rFonts w:cs="Times New Roman"/>
        <w:b/>
        <w:bCs/>
        <w:szCs w:val="26"/>
      </w:rPr>
      <w:tab/>
    </w:r>
  </w:p>
  <w:p w14:paraId="19A09F53" w14:textId="77777777" w:rsidR="002D1B25" w:rsidRDefault="002D1B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BC7CA" w14:textId="3F8C13AF" w:rsidR="002D1B25" w:rsidRDefault="002D1B25" w:rsidP="004163B8">
    <w:pPr>
      <w:pStyle w:val="Header"/>
      <w:rPr>
        <w:b/>
        <w:bCs/>
      </w:rPr>
    </w:pPr>
    <w:r>
      <w:t>WSD/CTJ/gp2</w:t>
    </w:r>
    <w:r>
      <w:tab/>
    </w:r>
    <w:r w:rsidR="004163B8">
      <w:rPr>
        <w:b/>
        <w:bCs/>
      </w:rPr>
      <w:tab/>
      <w:t>Date of Issuance:  11/30/2020</w:t>
    </w:r>
  </w:p>
  <w:p w14:paraId="2B4D5597" w14:textId="77777777" w:rsidR="001343CA" w:rsidRPr="001E068E" w:rsidRDefault="001343CA">
    <w:pPr>
      <w:pStyle w:val="Header"/>
      <w:rPr>
        <w:b/>
        <w:bC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9589E" w14:textId="4410E7B0" w:rsidR="002D1B25" w:rsidRPr="001E068E" w:rsidRDefault="002D1B25" w:rsidP="002D1B25">
    <w:pPr>
      <w:rPr>
        <w:rFonts w:cs="Times New Roman"/>
        <w:b/>
        <w:bCs/>
        <w:szCs w:val="26"/>
      </w:rPr>
    </w:pPr>
    <w:r>
      <w:rPr>
        <w:rFonts w:cs="Times New Roman"/>
        <w:szCs w:val="26"/>
      </w:rPr>
      <w:t>Resolution WSD-011  WSD/CJT/gp2</w:t>
    </w:r>
    <w:r>
      <w:rPr>
        <w:rFonts w:cs="Times New Roman"/>
        <w:b/>
        <w:bCs/>
        <w:szCs w:val="26"/>
      </w:rPr>
      <w:tab/>
    </w:r>
    <w:r>
      <w:rPr>
        <w:rFonts w:cs="Times New Roman"/>
        <w:b/>
        <w:bCs/>
        <w:szCs w:val="26"/>
      </w:rPr>
      <w:tab/>
    </w:r>
    <w:r>
      <w:rPr>
        <w:rFonts w:cs="Times New Roman"/>
        <w:b/>
        <w:bCs/>
        <w:szCs w:val="26"/>
      </w:rPr>
      <w:tab/>
    </w:r>
    <w:r>
      <w:rPr>
        <w:rFonts w:cs="Times New Roman"/>
        <w:b/>
        <w:bCs/>
        <w:szCs w:val="26"/>
      </w:rPr>
      <w:tab/>
    </w:r>
    <w:r>
      <w:rPr>
        <w:rFonts w:cs="Times New Roman"/>
        <w:b/>
        <w:bCs/>
        <w:szCs w:val="26"/>
      </w:rPr>
      <w:tab/>
    </w:r>
  </w:p>
  <w:p w14:paraId="79C49402" w14:textId="1A7334F9" w:rsidR="002D1B25" w:rsidRPr="00797F66" w:rsidRDefault="002D1B25" w:rsidP="00797F66">
    <w:pPr>
      <w:jc w:val="cent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1B546" w14:textId="582FFD2F" w:rsidR="002D1B25" w:rsidRPr="001E068E" w:rsidRDefault="002D1B25" w:rsidP="002D1B25">
    <w:pPr>
      <w:rPr>
        <w:rFonts w:cs="Times New Roman"/>
        <w:b/>
        <w:bCs/>
        <w:szCs w:val="26"/>
      </w:rPr>
    </w:pPr>
    <w:r>
      <w:rPr>
        <w:rFonts w:cs="Times New Roman"/>
        <w:szCs w:val="26"/>
      </w:rPr>
      <w:t>Resolution WSD-011  WSD/CJT/gp2</w:t>
    </w:r>
    <w:r>
      <w:rPr>
        <w:rFonts w:cs="Times New Roman"/>
        <w:b/>
        <w:bCs/>
        <w:szCs w:val="26"/>
      </w:rPr>
      <w:tab/>
    </w:r>
    <w:r>
      <w:rPr>
        <w:rFonts w:cs="Times New Roman"/>
        <w:b/>
        <w:bCs/>
        <w:szCs w:val="26"/>
      </w:rPr>
      <w:tab/>
    </w:r>
    <w:r>
      <w:rPr>
        <w:rFonts w:cs="Times New Roman"/>
        <w:b/>
        <w:bCs/>
        <w:szCs w:val="26"/>
      </w:rPr>
      <w:tab/>
    </w:r>
    <w:r>
      <w:rPr>
        <w:rFonts w:cs="Times New Roman"/>
        <w:b/>
        <w:bCs/>
        <w:szCs w:val="26"/>
      </w:rPr>
      <w:tab/>
    </w:r>
    <w:r>
      <w:rPr>
        <w:rFonts w:cs="Times New Roman"/>
        <w:b/>
        <w:bCs/>
        <w:szCs w:val="26"/>
      </w:rPr>
      <w:tab/>
    </w:r>
  </w:p>
  <w:p w14:paraId="4EE3DE0E" w14:textId="77777777" w:rsidR="002D1B25" w:rsidRPr="002D1B25" w:rsidRDefault="002D1B25" w:rsidP="002D1B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882A6A"/>
    <w:multiLevelType w:val="hybridMultilevel"/>
    <w:tmpl w:val="AC047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26D7D"/>
    <w:multiLevelType w:val="hybridMultilevel"/>
    <w:tmpl w:val="2B5E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C00AC"/>
    <w:multiLevelType w:val="multilevel"/>
    <w:tmpl w:val="BC20C678"/>
    <w:numStyleLink w:val="Headings"/>
  </w:abstractNum>
  <w:abstractNum w:abstractNumId="4" w15:restartNumberingAfterBreak="0">
    <w:nsid w:val="0B24267F"/>
    <w:multiLevelType w:val="hybridMultilevel"/>
    <w:tmpl w:val="442E1A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DB7819"/>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0D471385"/>
    <w:multiLevelType w:val="hybridMultilevel"/>
    <w:tmpl w:val="0700F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22BE9"/>
    <w:multiLevelType w:val="hybridMultilevel"/>
    <w:tmpl w:val="A5F8A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A495B"/>
    <w:multiLevelType w:val="hybridMultilevel"/>
    <w:tmpl w:val="3BB887FE"/>
    <w:lvl w:ilvl="0" w:tplc="A04E544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6C1C14"/>
    <w:multiLevelType w:val="multilevel"/>
    <w:tmpl w:val="18F4A5AC"/>
    <w:styleLink w:val="FoFCoLOP"/>
    <w:lvl w:ilvl="0">
      <w:start w:val="1"/>
      <w:numFmt w:val="decimal"/>
      <w:pStyle w:val="OP"/>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10" w15:restartNumberingAfterBreak="0">
    <w:nsid w:val="15F056CB"/>
    <w:multiLevelType w:val="multilevel"/>
    <w:tmpl w:val="18F4A5AC"/>
    <w:numStyleLink w:val="FoFCoLOP"/>
  </w:abstractNum>
  <w:abstractNum w:abstractNumId="11" w15:restartNumberingAfterBreak="0">
    <w:nsid w:val="1A9D31C1"/>
    <w:multiLevelType w:val="hybridMultilevel"/>
    <w:tmpl w:val="9028EA4C"/>
    <w:lvl w:ilvl="0" w:tplc="5622AA00">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2242C9"/>
    <w:multiLevelType w:val="multilevel"/>
    <w:tmpl w:val="BC20C678"/>
    <w:numStyleLink w:val="Headings"/>
  </w:abstractNum>
  <w:abstractNum w:abstractNumId="13" w15:restartNumberingAfterBreak="0">
    <w:nsid w:val="1E75356C"/>
    <w:multiLevelType w:val="multilevel"/>
    <w:tmpl w:val="550ADB26"/>
    <w:lvl w:ilvl="0">
      <w:start w:val="5"/>
      <w:numFmt w:val="decimal"/>
      <w:lvlText w:val="%1"/>
      <w:lvlJc w:val="left"/>
      <w:pPr>
        <w:ind w:left="972" w:hanging="853"/>
      </w:pPr>
      <w:rPr>
        <w:rFonts w:hint="default"/>
      </w:rPr>
    </w:lvl>
    <w:lvl w:ilvl="1">
      <w:start w:val="3"/>
      <w:numFmt w:val="decimal"/>
      <w:lvlText w:val="%1.%2"/>
      <w:lvlJc w:val="left"/>
      <w:pPr>
        <w:ind w:left="972" w:hanging="853"/>
      </w:pPr>
      <w:rPr>
        <w:rFonts w:hint="default"/>
      </w:rPr>
    </w:lvl>
    <w:lvl w:ilvl="2">
      <w:start w:val="1"/>
      <w:numFmt w:val="decimal"/>
      <w:lvlText w:val="%1.%2.%3"/>
      <w:lvlJc w:val="left"/>
      <w:pPr>
        <w:ind w:left="972" w:hanging="853"/>
      </w:pPr>
      <w:rPr>
        <w:rFonts w:ascii="Calibri" w:eastAsia="Calibri" w:hAnsi="Calibri" w:cs="Calibri" w:hint="default"/>
        <w:b/>
        <w:bCs/>
        <w:color w:val="231F20"/>
        <w:spacing w:val="-2"/>
        <w:w w:val="100"/>
        <w:sz w:val="22"/>
        <w:szCs w:val="22"/>
      </w:rPr>
    </w:lvl>
    <w:lvl w:ilvl="3">
      <w:start w:val="1"/>
      <w:numFmt w:val="decimal"/>
      <w:lvlText w:val="%4."/>
      <w:lvlJc w:val="left"/>
      <w:pPr>
        <w:ind w:left="839" w:hanging="359"/>
      </w:pPr>
      <w:rPr>
        <w:rFonts w:ascii="Calibri" w:eastAsia="Calibri" w:hAnsi="Calibri" w:cs="Calibri" w:hint="default"/>
        <w:color w:val="231F20"/>
        <w:spacing w:val="-1"/>
        <w:w w:val="100"/>
        <w:sz w:val="22"/>
        <w:szCs w:val="22"/>
      </w:rPr>
    </w:lvl>
    <w:lvl w:ilvl="4">
      <w:start w:val="1"/>
      <w:numFmt w:val="lowerLetter"/>
      <w:lvlText w:val="%5."/>
      <w:lvlJc w:val="left"/>
      <w:pPr>
        <w:ind w:left="1560" w:hanging="361"/>
      </w:pPr>
      <w:rPr>
        <w:rFonts w:ascii="Calibri" w:eastAsia="Calibri" w:hAnsi="Calibri" w:cs="Calibri" w:hint="default"/>
        <w:color w:val="231F20"/>
        <w:w w:val="100"/>
        <w:sz w:val="22"/>
        <w:szCs w:val="22"/>
      </w:rPr>
    </w:lvl>
    <w:lvl w:ilvl="5">
      <w:numFmt w:val="bullet"/>
      <w:lvlText w:val="•"/>
      <w:lvlJc w:val="left"/>
      <w:pPr>
        <w:ind w:left="1560" w:hanging="361"/>
      </w:pPr>
      <w:rPr>
        <w:rFonts w:hint="default"/>
      </w:rPr>
    </w:lvl>
    <w:lvl w:ilvl="6">
      <w:numFmt w:val="bullet"/>
      <w:lvlText w:val="•"/>
      <w:lvlJc w:val="left"/>
      <w:pPr>
        <w:ind w:left="4048" w:hanging="361"/>
      </w:pPr>
      <w:rPr>
        <w:rFonts w:hint="default"/>
      </w:rPr>
    </w:lvl>
    <w:lvl w:ilvl="7">
      <w:numFmt w:val="bullet"/>
      <w:lvlText w:val="•"/>
      <w:lvlJc w:val="left"/>
      <w:pPr>
        <w:ind w:left="6536" w:hanging="361"/>
      </w:pPr>
      <w:rPr>
        <w:rFonts w:hint="default"/>
      </w:rPr>
    </w:lvl>
    <w:lvl w:ilvl="8">
      <w:numFmt w:val="bullet"/>
      <w:lvlText w:val="•"/>
      <w:lvlJc w:val="left"/>
      <w:pPr>
        <w:ind w:left="9024" w:hanging="361"/>
      </w:pPr>
      <w:rPr>
        <w:rFonts w:hint="default"/>
      </w:rPr>
    </w:lvl>
  </w:abstractNum>
  <w:abstractNum w:abstractNumId="14" w15:restartNumberingAfterBreak="0">
    <w:nsid w:val="21480B1D"/>
    <w:multiLevelType w:val="multilevel"/>
    <w:tmpl w:val="8844394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15:restartNumberingAfterBreak="0">
    <w:nsid w:val="23D02A62"/>
    <w:multiLevelType w:val="hybridMultilevel"/>
    <w:tmpl w:val="2506B052"/>
    <w:lvl w:ilvl="0" w:tplc="04090015">
      <w:start w:val="1"/>
      <w:numFmt w:val="upp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24ED54A2"/>
    <w:multiLevelType w:val="hybridMultilevel"/>
    <w:tmpl w:val="43BA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78847FE"/>
    <w:multiLevelType w:val="hybridMultilevel"/>
    <w:tmpl w:val="8C923542"/>
    <w:lvl w:ilvl="0" w:tplc="849E3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500E33"/>
    <w:multiLevelType w:val="hybridMultilevel"/>
    <w:tmpl w:val="913C23FA"/>
    <w:lvl w:ilvl="0" w:tplc="C1F4584A">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D0753A"/>
    <w:multiLevelType w:val="hybridMultilevel"/>
    <w:tmpl w:val="F96AF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1C56CF"/>
    <w:multiLevelType w:val="hybridMultilevel"/>
    <w:tmpl w:val="2506B0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F0A53E5"/>
    <w:multiLevelType w:val="hybridMultilevel"/>
    <w:tmpl w:val="343ADE8C"/>
    <w:lvl w:ilvl="0" w:tplc="A1B405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31F6D42"/>
    <w:multiLevelType w:val="multilevel"/>
    <w:tmpl w:val="BC20C678"/>
    <w:styleLink w:val="Headings"/>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pStyle w:val="Heading2"/>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pStyle w:val="Heading3"/>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pStyle w:val="Heading4"/>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pStyle w:val="Heading5"/>
      <w:lvlText w:val="%1.%2.%3.%4.%5."/>
      <w:lvlJc w:val="left"/>
      <w:pPr>
        <w:tabs>
          <w:tab w:val="num" w:pos="2880"/>
        </w:tabs>
        <w:ind w:left="2880" w:hanging="1440"/>
      </w:pPr>
      <w:rPr>
        <w:rFonts w:ascii="Arial" w:hAnsi="Arial" w:hint="default"/>
        <w:b/>
        <w:i w:val="0"/>
        <w:sz w:val="26"/>
      </w:rPr>
    </w:lvl>
    <w:lvl w:ilvl="5">
      <w:start w:val="1"/>
      <w:numFmt w:val="decimal"/>
      <w:pStyle w:val="Heading6"/>
      <w:lvlText w:val="%1.%2.%3.%4.%5.%6."/>
      <w:lvlJc w:val="left"/>
      <w:pPr>
        <w:tabs>
          <w:tab w:val="num" w:pos="3528"/>
        </w:tabs>
        <w:ind w:left="3528" w:hanging="1728"/>
      </w:pPr>
      <w:rPr>
        <w:rFonts w:ascii="Arial" w:hAnsi="Arial" w:hint="default"/>
        <w:b/>
        <w:i w:val="0"/>
        <w:sz w:val="26"/>
      </w:rPr>
    </w:lvl>
    <w:lvl w:ilvl="6">
      <w:start w:val="1"/>
      <w:numFmt w:val="decimal"/>
      <w:pStyle w:val="ListNum"/>
      <w:lvlText w:val="%7."/>
      <w:lvlJc w:val="left"/>
      <w:pPr>
        <w:tabs>
          <w:tab w:val="num" w:pos="1080"/>
        </w:tabs>
        <w:ind w:left="1080" w:hanging="360"/>
      </w:pPr>
      <w:rPr>
        <w:rFonts w:ascii="Book Antiqua" w:hAnsi="Book Antiqua" w:hint="default"/>
        <w:b w:val="0"/>
        <w:i w:val="0"/>
        <w:sz w:val="26"/>
      </w:rPr>
    </w:lvl>
    <w:lvl w:ilvl="7">
      <w:start w:val="1"/>
      <w:numFmt w:val="lowerLetter"/>
      <w:pStyle w:val="ListAlpha"/>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24" w15:restartNumberingAfterBreak="0">
    <w:nsid w:val="34920EB3"/>
    <w:multiLevelType w:val="hybridMultilevel"/>
    <w:tmpl w:val="8EBAD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6C2029"/>
    <w:multiLevelType w:val="hybridMultilevel"/>
    <w:tmpl w:val="D514E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5B22A4A"/>
    <w:multiLevelType w:val="hybridMultilevel"/>
    <w:tmpl w:val="62887B18"/>
    <w:lvl w:ilvl="0" w:tplc="DAB4AB9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910E7B"/>
    <w:multiLevelType w:val="hybridMultilevel"/>
    <w:tmpl w:val="487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6238D0"/>
    <w:multiLevelType w:val="hybridMultilevel"/>
    <w:tmpl w:val="70804FF4"/>
    <w:lvl w:ilvl="0" w:tplc="F67EE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EA03788"/>
    <w:multiLevelType w:val="hybridMultilevel"/>
    <w:tmpl w:val="4E86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F863B1"/>
    <w:multiLevelType w:val="hybridMultilevel"/>
    <w:tmpl w:val="9B189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20F0D11"/>
    <w:multiLevelType w:val="hybridMultilevel"/>
    <w:tmpl w:val="AC047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4D4577"/>
    <w:multiLevelType w:val="hybridMultilevel"/>
    <w:tmpl w:val="4E7C4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8608B3"/>
    <w:multiLevelType w:val="multilevel"/>
    <w:tmpl w:val="BC20C678"/>
    <w:numStyleLink w:val="Headings"/>
  </w:abstractNum>
  <w:abstractNum w:abstractNumId="34" w15:restartNumberingAfterBreak="0">
    <w:nsid w:val="44CF7C78"/>
    <w:multiLevelType w:val="hybridMultilevel"/>
    <w:tmpl w:val="377C00E8"/>
    <w:lvl w:ilvl="0" w:tplc="3D5A2A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53B3BD2"/>
    <w:multiLevelType w:val="hybridMultilevel"/>
    <w:tmpl w:val="4BA68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BDB4314"/>
    <w:multiLevelType w:val="hybridMultilevel"/>
    <w:tmpl w:val="5D840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717B03"/>
    <w:multiLevelType w:val="hybridMultilevel"/>
    <w:tmpl w:val="EB780EA6"/>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5515434A"/>
    <w:multiLevelType w:val="hybridMultilevel"/>
    <w:tmpl w:val="53A074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5864CDA"/>
    <w:multiLevelType w:val="hybridMultilevel"/>
    <w:tmpl w:val="FD2657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41" w15:restartNumberingAfterBreak="0">
    <w:nsid w:val="588F23B9"/>
    <w:multiLevelType w:val="hybridMultilevel"/>
    <w:tmpl w:val="FA5E7F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D042D7"/>
    <w:multiLevelType w:val="multilevel"/>
    <w:tmpl w:val="18F4A5AC"/>
    <w:numStyleLink w:val="FoFCoLOP"/>
  </w:abstractNum>
  <w:abstractNum w:abstractNumId="43" w15:restartNumberingAfterBreak="0">
    <w:nsid w:val="5A9E2171"/>
    <w:multiLevelType w:val="multilevel"/>
    <w:tmpl w:val="BD4C7B80"/>
    <w:lvl w:ilvl="0">
      <w:start w:val="1"/>
      <w:numFmt w:val="decimal"/>
      <w:lvlText w:val="%1."/>
      <w:lvlJc w:val="left"/>
      <w:pPr>
        <w:ind w:left="360" w:hanging="36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ind w:left="144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792"/>
        </w:tabs>
        <w:ind w:left="1440" w:hanging="720"/>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3.%2.%1.%4."/>
      <w:lvlJc w:val="left"/>
      <w:pPr>
        <w:ind w:left="1440" w:hanging="720"/>
      </w:pPr>
      <w:rPr>
        <w:rFonts w:ascii="Arial" w:hAnsi="Arial" w:hint="default"/>
        <w:b/>
        <w:i w:val="0"/>
        <w:caps w:val="0"/>
        <w:strike w:val="0"/>
        <w:dstrike w:val="0"/>
        <w:vanish w:val="0"/>
        <w:kern w:val="0"/>
        <w:sz w:val="26"/>
        <w:vertAlign w:val="baseline"/>
        <w14:cntxtAlts w14: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936164"/>
    <w:multiLevelType w:val="hybridMultilevel"/>
    <w:tmpl w:val="AC047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BA52374"/>
    <w:multiLevelType w:val="hybridMultilevel"/>
    <w:tmpl w:val="1B24BD5A"/>
    <w:lvl w:ilvl="0" w:tplc="96B2D4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C4059FE"/>
    <w:multiLevelType w:val="hybridMultilevel"/>
    <w:tmpl w:val="AC047F9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0124C17"/>
    <w:multiLevelType w:val="hybridMultilevel"/>
    <w:tmpl w:val="6652B23C"/>
    <w:lvl w:ilvl="0" w:tplc="A838D7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30E5A10"/>
    <w:multiLevelType w:val="hybridMultilevel"/>
    <w:tmpl w:val="21506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665075D"/>
    <w:multiLevelType w:val="hybridMultilevel"/>
    <w:tmpl w:val="664C10AA"/>
    <w:lvl w:ilvl="0" w:tplc="04090001">
      <w:start w:val="1"/>
      <w:numFmt w:val="bullet"/>
      <w:lvlText w:val=""/>
      <w:lvlJc w:val="left"/>
      <w:pPr>
        <w:ind w:left="720" w:hanging="360"/>
      </w:pPr>
      <w:rPr>
        <w:rFonts w:ascii="Symbol" w:hAnsi="Symbol" w:hint="default"/>
        <w:color w:val="0000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7991D1A"/>
    <w:multiLevelType w:val="hybridMultilevel"/>
    <w:tmpl w:val="4508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B84711"/>
    <w:multiLevelType w:val="hybridMultilevel"/>
    <w:tmpl w:val="536472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DE12F5F"/>
    <w:multiLevelType w:val="hybridMultilevel"/>
    <w:tmpl w:val="F11C4054"/>
    <w:lvl w:ilvl="0" w:tplc="C772E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FDF7E1C"/>
    <w:multiLevelType w:val="hybridMultilevel"/>
    <w:tmpl w:val="2F5AD6F8"/>
    <w:lvl w:ilvl="0" w:tplc="721C31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1F16C57"/>
    <w:multiLevelType w:val="hybridMultilevel"/>
    <w:tmpl w:val="E28CCF9A"/>
    <w:lvl w:ilvl="0" w:tplc="990CECB0">
      <w:start w:val="2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2087293"/>
    <w:multiLevelType w:val="hybridMultilevel"/>
    <w:tmpl w:val="D9425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9A0AFE"/>
    <w:multiLevelType w:val="multilevel"/>
    <w:tmpl w:val="18F4A5AC"/>
    <w:numStyleLink w:val="FoFCoLOP"/>
  </w:abstractNum>
  <w:abstractNum w:abstractNumId="58" w15:restartNumberingAfterBreak="0">
    <w:nsid w:val="7AE27551"/>
    <w:multiLevelType w:val="hybridMultilevel"/>
    <w:tmpl w:val="2506B05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7DD8086D"/>
    <w:multiLevelType w:val="hybridMultilevel"/>
    <w:tmpl w:val="CF161B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2"/>
  </w:num>
  <w:num w:numId="4">
    <w:abstractNumId w:val="10"/>
  </w:num>
  <w:num w:numId="5">
    <w:abstractNumId w:val="57"/>
  </w:num>
  <w:num w:numId="6">
    <w:abstractNumId w:val="23"/>
  </w:num>
  <w:num w:numId="7">
    <w:abstractNumId w:val="12"/>
  </w:num>
  <w:num w:numId="8">
    <w:abstractNumId w:val="54"/>
  </w:num>
  <w:num w:numId="9">
    <w:abstractNumId w:val="0"/>
  </w:num>
  <w:num w:numId="10">
    <w:abstractNumId w:val="3"/>
  </w:num>
  <w:num w:numId="11">
    <w:abstractNumId w:val="11"/>
  </w:num>
  <w:num w:numId="12">
    <w:abstractNumId w:val="33"/>
  </w:num>
  <w:num w:numId="13">
    <w:abstractNumId w:val="47"/>
  </w:num>
  <w:num w:numId="14">
    <w:abstractNumId w:val="24"/>
  </w:num>
  <w:num w:numId="15">
    <w:abstractNumId w:val="56"/>
  </w:num>
  <w:num w:numId="16">
    <w:abstractNumId w:val="20"/>
  </w:num>
  <w:num w:numId="17">
    <w:abstractNumId w:val="14"/>
  </w:num>
  <w:num w:numId="18">
    <w:abstractNumId w:val="30"/>
  </w:num>
  <w:num w:numId="19">
    <w:abstractNumId w:val="19"/>
  </w:num>
  <w:num w:numId="20">
    <w:abstractNumId w:val="31"/>
  </w:num>
  <w:num w:numId="21">
    <w:abstractNumId w:val="48"/>
  </w:num>
  <w:num w:numId="22">
    <w:abstractNumId w:val="46"/>
  </w:num>
  <w:num w:numId="23">
    <w:abstractNumId w:val="45"/>
  </w:num>
  <w:num w:numId="24">
    <w:abstractNumId w:val="49"/>
  </w:num>
  <w:num w:numId="25">
    <w:abstractNumId w:val="53"/>
  </w:num>
  <w:num w:numId="26">
    <w:abstractNumId w:val="1"/>
  </w:num>
  <w:num w:numId="27">
    <w:abstractNumId w:val="18"/>
  </w:num>
  <w:num w:numId="28">
    <w:abstractNumId w:val="44"/>
  </w:num>
  <w:num w:numId="29">
    <w:abstractNumId w:val="40"/>
  </w:num>
  <w:num w:numId="30">
    <w:abstractNumId w:val="22"/>
  </w:num>
  <w:num w:numId="31">
    <w:abstractNumId w:val="5"/>
  </w:num>
  <w:num w:numId="32">
    <w:abstractNumId w:val="28"/>
  </w:num>
  <w:num w:numId="33">
    <w:abstractNumId w:val="59"/>
  </w:num>
  <w:num w:numId="34">
    <w:abstractNumId w:val="13"/>
  </w:num>
  <w:num w:numId="35">
    <w:abstractNumId w:val="17"/>
  </w:num>
  <w:num w:numId="36">
    <w:abstractNumId w:val="52"/>
  </w:num>
  <w:num w:numId="37">
    <w:abstractNumId w:val="36"/>
  </w:num>
  <w:num w:numId="38">
    <w:abstractNumId w:val="41"/>
  </w:num>
  <w:num w:numId="39">
    <w:abstractNumId w:val="51"/>
  </w:num>
  <w:num w:numId="40">
    <w:abstractNumId w:val="26"/>
  </w:num>
  <w:num w:numId="41">
    <w:abstractNumId w:val="39"/>
  </w:num>
  <w:num w:numId="42">
    <w:abstractNumId w:val="6"/>
  </w:num>
  <w:num w:numId="43">
    <w:abstractNumId w:val="4"/>
  </w:num>
  <w:num w:numId="44">
    <w:abstractNumId w:val="34"/>
  </w:num>
  <w:num w:numId="45">
    <w:abstractNumId w:val="21"/>
  </w:num>
  <w:num w:numId="46">
    <w:abstractNumId w:val="58"/>
  </w:num>
  <w:num w:numId="47">
    <w:abstractNumId w:val="15"/>
  </w:num>
  <w:num w:numId="48">
    <w:abstractNumId w:val="27"/>
  </w:num>
  <w:num w:numId="49">
    <w:abstractNumId w:val="38"/>
  </w:num>
  <w:num w:numId="50">
    <w:abstractNumId w:val="35"/>
  </w:num>
  <w:num w:numId="51">
    <w:abstractNumId w:val="8"/>
  </w:num>
  <w:num w:numId="52">
    <w:abstractNumId w:val="2"/>
  </w:num>
  <w:num w:numId="53">
    <w:abstractNumId w:val="29"/>
  </w:num>
  <w:num w:numId="54">
    <w:abstractNumId w:val="16"/>
  </w:num>
  <w:num w:numId="55">
    <w:abstractNumId w:val="25"/>
  </w:num>
  <w:num w:numId="56">
    <w:abstractNumId w:val="55"/>
  </w:num>
  <w:num w:numId="57">
    <w:abstractNumId w:val="50"/>
  </w:num>
  <w:num w:numId="58">
    <w:abstractNumId w:val="37"/>
  </w:num>
  <w:num w:numId="59">
    <w:abstractNumId w:val="7"/>
  </w:num>
  <w:num w:numId="60">
    <w:abstractNumId w:val="3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oNotTrackMoves/>
  <w:doNotTrackFormatting/>
  <w:defaultTabStop w:val="720"/>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C88"/>
    <w:rsid w:val="00000F6A"/>
    <w:rsid w:val="00012291"/>
    <w:rsid w:val="00026C29"/>
    <w:rsid w:val="00036A1A"/>
    <w:rsid w:val="000667C4"/>
    <w:rsid w:val="0007115A"/>
    <w:rsid w:val="000727D3"/>
    <w:rsid w:val="000779B0"/>
    <w:rsid w:val="000812CB"/>
    <w:rsid w:val="00082EB3"/>
    <w:rsid w:val="0009065E"/>
    <w:rsid w:val="00092CBD"/>
    <w:rsid w:val="000973C8"/>
    <w:rsid w:val="000A2AA9"/>
    <w:rsid w:val="000A56F2"/>
    <w:rsid w:val="000A57F4"/>
    <w:rsid w:val="000A685E"/>
    <w:rsid w:val="000A6E05"/>
    <w:rsid w:val="000B12FA"/>
    <w:rsid w:val="000B5A2C"/>
    <w:rsid w:val="000C08BF"/>
    <w:rsid w:val="000C3B9A"/>
    <w:rsid w:val="000D25A8"/>
    <w:rsid w:val="000E1ED4"/>
    <w:rsid w:val="000E4C53"/>
    <w:rsid w:val="000F0C89"/>
    <w:rsid w:val="00106084"/>
    <w:rsid w:val="00110723"/>
    <w:rsid w:val="001108DF"/>
    <w:rsid w:val="0011395B"/>
    <w:rsid w:val="00121089"/>
    <w:rsid w:val="001215FE"/>
    <w:rsid w:val="00124BEA"/>
    <w:rsid w:val="001253F9"/>
    <w:rsid w:val="001343CA"/>
    <w:rsid w:val="00143FA0"/>
    <w:rsid w:val="001465EF"/>
    <w:rsid w:val="00151658"/>
    <w:rsid w:val="001557A2"/>
    <w:rsid w:val="0016010E"/>
    <w:rsid w:val="00161A7E"/>
    <w:rsid w:val="00171407"/>
    <w:rsid w:val="0017695B"/>
    <w:rsid w:val="001A242B"/>
    <w:rsid w:val="001A36E2"/>
    <w:rsid w:val="001A3B96"/>
    <w:rsid w:val="001A6E1D"/>
    <w:rsid w:val="001B0E86"/>
    <w:rsid w:val="001C363F"/>
    <w:rsid w:val="001C7488"/>
    <w:rsid w:val="001E068E"/>
    <w:rsid w:val="001E2A62"/>
    <w:rsid w:val="001E4BCD"/>
    <w:rsid w:val="001F2819"/>
    <w:rsid w:val="00200A34"/>
    <w:rsid w:val="0020347F"/>
    <w:rsid w:val="002043EC"/>
    <w:rsid w:val="00243DC0"/>
    <w:rsid w:val="00246784"/>
    <w:rsid w:val="00247477"/>
    <w:rsid w:val="00256151"/>
    <w:rsid w:val="0026179B"/>
    <w:rsid w:val="00267117"/>
    <w:rsid w:val="00270440"/>
    <w:rsid w:val="00277418"/>
    <w:rsid w:val="00281481"/>
    <w:rsid w:val="00285A75"/>
    <w:rsid w:val="002912FB"/>
    <w:rsid w:val="00291899"/>
    <w:rsid w:val="00293DEE"/>
    <w:rsid w:val="002A2C97"/>
    <w:rsid w:val="002C39C4"/>
    <w:rsid w:val="002C7FE9"/>
    <w:rsid w:val="002D1B25"/>
    <w:rsid w:val="002D3A2C"/>
    <w:rsid w:val="002D4EFD"/>
    <w:rsid w:val="002E1B90"/>
    <w:rsid w:val="002E4D90"/>
    <w:rsid w:val="003005D9"/>
    <w:rsid w:val="00316071"/>
    <w:rsid w:val="00316A4C"/>
    <w:rsid w:val="00332BEE"/>
    <w:rsid w:val="0033566E"/>
    <w:rsid w:val="003431AF"/>
    <w:rsid w:val="00343E5C"/>
    <w:rsid w:val="003469EA"/>
    <w:rsid w:val="0036017B"/>
    <w:rsid w:val="00362755"/>
    <w:rsid w:val="00362F23"/>
    <w:rsid w:val="00371691"/>
    <w:rsid w:val="00373B93"/>
    <w:rsid w:val="00374688"/>
    <w:rsid w:val="003754B5"/>
    <w:rsid w:val="0039014F"/>
    <w:rsid w:val="003923D6"/>
    <w:rsid w:val="003B6010"/>
    <w:rsid w:val="003C1096"/>
    <w:rsid w:val="003C3F95"/>
    <w:rsid w:val="003C65B8"/>
    <w:rsid w:val="003C694B"/>
    <w:rsid w:val="003D15BF"/>
    <w:rsid w:val="003D21BC"/>
    <w:rsid w:val="003D366C"/>
    <w:rsid w:val="003D556D"/>
    <w:rsid w:val="003F24EC"/>
    <w:rsid w:val="003F4329"/>
    <w:rsid w:val="00403BA9"/>
    <w:rsid w:val="00407241"/>
    <w:rsid w:val="00411F66"/>
    <w:rsid w:val="00412C83"/>
    <w:rsid w:val="004163B8"/>
    <w:rsid w:val="00424E49"/>
    <w:rsid w:val="00426014"/>
    <w:rsid w:val="00427CF9"/>
    <w:rsid w:val="004311FF"/>
    <w:rsid w:val="00433A26"/>
    <w:rsid w:val="00444F2F"/>
    <w:rsid w:val="00460B7D"/>
    <w:rsid w:val="00480CB0"/>
    <w:rsid w:val="00491939"/>
    <w:rsid w:val="00493581"/>
    <w:rsid w:val="004A0213"/>
    <w:rsid w:val="004B34EA"/>
    <w:rsid w:val="004B5494"/>
    <w:rsid w:val="004C3239"/>
    <w:rsid w:val="004C622B"/>
    <w:rsid w:val="004C7D3A"/>
    <w:rsid w:val="004D094C"/>
    <w:rsid w:val="004D236F"/>
    <w:rsid w:val="004D3EF7"/>
    <w:rsid w:val="004D55F9"/>
    <w:rsid w:val="004D6831"/>
    <w:rsid w:val="004E364B"/>
    <w:rsid w:val="005018A8"/>
    <w:rsid w:val="00505A39"/>
    <w:rsid w:val="00515682"/>
    <w:rsid w:val="0051725C"/>
    <w:rsid w:val="00521098"/>
    <w:rsid w:val="00522854"/>
    <w:rsid w:val="005240BF"/>
    <w:rsid w:val="00525D5D"/>
    <w:rsid w:val="00530A2D"/>
    <w:rsid w:val="00541678"/>
    <w:rsid w:val="00546EFC"/>
    <w:rsid w:val="005509C7"/>
    <w:rsid w:val="0055190C"/>
    <w:rsid w:val="00552394"/>
    <w:rsid w:val="00553FDA"/>
    <w:rsid w:val="00555811"/>
    <w:rsid w:val="00566F93"/>
    <w:rsid w:val="00573832"/>
    <w:rsid w:val="00582C14"/>
    <w:rsid w:val="00585390"/>
    <w:rsid w:val="00586498"/>
    <w:rsid w:val="005939A5"/>
    <w:rsid w:val="005A148C"/>
    <w:rsid w:val="005A4635"/>
    <w:rsid w:val="005C772A"/>
    <w:rsid w:val="005E33AA"/>
    <w:rsid w:val="005F30D0"/>
    <w:rsid w:val="005F51F0"/>
    <w:rsid w:val="005F5ABD"/>
    <w:rsid w:val="00615424"/>
    <w:rsid w:val="00617927"/>
    <w:rsid w:val="0062197B"/>
    <w:rsid w:val="00621BA2"/>
    <w:rsid w:val="00624C3A"/>
    <w:rsid w:val="00632201"/>
    <w:rsid w:val="00632207"/>
    <w:rsid w:val="006335BC"/>
    <w:rsid w:val="0063491C"/>
    <w:rsid w:val="00647327"/>
    <w:rsid w:val="00647F50"/>
    <w:rsid w:val="00654C35"/>
    <w:rsid w:val="0066219A"/>
    <w:rsid w:val="006657F9"/>
    <w:rsid w:val="0066799A"/>
    <w:rsid w:val="00671A50"/>
    <w:rsid w:val="00676546"/>
    <w:rsid w:val="00681870"/>
    <w:rsid w:val="00690E7B"/>
    <w:rsid w:val="00693629"/>
    <w:rsid w:val="006B0220"/>
    <w:rsid w:val="006B5C99"/>
    <w:rsid w:val="006D0BFD"/>
    <w:rsid w:val="006D4469"/>
    <w:rsid w:val="006E06D9"/>
    <w:rsid w:val="006E305A"/>
    <w:rsid w:val="006E5E28"/>
    <w:rsid w:val="006E6574"/>
    <w:rsid w:val="006F53E8"/>
    <w:rsid w:val="006F54DF"/>
    <w:rsid w:val="00705C88"/>
    <w:rsid w:val="00712B8C"/>
    <w:rsid w:val="00714CF2"/>
    <w:rsid w:val="007156B9"/>
    <w:rsid w:val="00720817"/>
    <w:rsid w:val="00722850"/>
    <w:rsid w:val="0073353F"/>
    <w:rsid w:val="0073519E"/>
    <w:rsid w:val="00742E45"/>
    <w:rsid w:val="007446B6"/>
    <w:rsid w:val="007447AF"/>
    <w:rsid w:val="00745313"/>
    <w:rsid w:val="00750816"/>
    <w:rsid w:val="0076442E"/>
    <w:rsid w:val="007657C1"/>
    <w:rsid w:val="00766C34"/>
    <w:rsid w:val="0078369D"/>
    <w:rsid w:val="007935C9"/>
    <w:rsid w:val="00797F66"/>
    <w:rsid w:val="007A406D"/>
    <w:rsid w:val="007A459B"/>
    <w:rsid w:val="007A5AB1"/>
    <w:rsid w:val="007A62B0"/>
    <w:rsid w:val="007C09FC"/>
    <w:rsid w:val="007C17BF"/>
    <w:rsid w:val="007C5406"/>
    <w:rsid w:val="007C5A0C"/>
    <w:rsid w:val="007D3543"/>
    <w:rsid w:val="007E0FEE"/>
    <w:rsid w:val="007E3CC3"/>
    <w:rsid w:val="007F2017"/>
    <w:rsid w:val="007F2779"/>
    <w:rsid w:val="00802CB6"/>
    <w:rsid w:val="00827E01"/>
    <w:rsid w:val="00827E66"/>
    <w:rsid w:val="00830624"/>
    <w:rsid w:val="0083186A"/>
    <w:rsid w:val="008339BB"/>
    <w:rsid w:val="00842D7C"/>
    <w:rsid w:val="00846122"/>
    <w:rsid w:val="008476D7"/>
    <w:rsid w:val="00852581"/>
    <w:rsid w:val="00860319"/>
    <w:rsid w:val="008623D2"/>
    <w:rsid w:val="0086419A"/>
    <w:rsid w:val="0087023B"/>
    <w:rsid w:val="00872C88"/>
    <w:rsid w:val="00873CCD"/>
    <w:rsid w:val="00882BCC"/>
    <w:rsid w:val="008862C4"/>
    <w:rsid w:val="008A179F"/>
    <w:rsid w:val="008A35D7"/>
    <w:rsid w:val="008B0864"/>
    <w:rsid w:val="008B15B4"/>
    <w:rsid w:val="008B6903"/>
    <w:rsid w:val="008C0259"/>
    <w:rsid w:val="008C7413"/>
    <w:rsid w:val="008D0E7E"/>
    <w:rsid w:val="008D16B7"/>
    <w:rsid w:val="008D5DE7"/>
    <w:rsid w:val="008E6AE6"/>
    <w:rsid w:val="008F0116"/>
    <w:rsid w:val="008F143D"/>
    <w:rsid w:val="008F3F77"/>
    <w:rsid w:val="008F3FC6"/>
    <w:rsid w:val="00903354"/>
    <w:rsid w:val="00904124"/>
    <w:rsid w:val="00910A01"/>
    <w:rsid w:val="009138E4"/>
    <w:rsid w:val="009246C2"/>
    <w:rsid w:val="009252C0"/>
    <w:rsid w:val="009308C5"/>
    <w:rsid w:val="00932865"/>
    <w:rsid w:val="0093511F"/>
    <w:rsid w:val="0094034F"/>
    <w:rsid w:val="00963C90"/>
    <w:rsid w:val="00964555"/>
    <w:rsid w:val="00966A2B"/>
    <w:rsid w:val="00967129"/>
    <w:rsid w:val="0097288F"/>
    <w:rsid w:val="0098138E"/>
    <w:rsid w:val="0098655A"/>
    <w:rsid w:val="009904FD"/>
    <w:rsid w:val="009934F3"/>
    <w:rsid w:val="00994775"/>
    <w:rsid w:val="009A0F0D"/>
    <w:rsid w:val="009A498D"/>
    <w:rsid w:val="009A6012"/>
    <w:rsid w:val="009A6042"/>
    <w:rsid w:val="009A6F96"/>
    <w:rsid w:val="009B094B"/>
    <w:rsid w:val="009E7C7F"/>
    <w:rsid w:val="009F11A6"/>
    <w:rsid w:val="009F409A"/>
    <w:rsid w:val="00A00588"/>
    <w:rsid w:val="00A046AA"/>
    <w:rsid w:val="00A04C71"/>
    <w:rsid w:val="00A057D1"/>
    <w:rsid w:val="00A17B6F"/>
    <w:rsid w:val="00A17CE0"/>
    <w:rsid w:val="00A218F1"/>
    <w:rsid w:val="00A42306"/>
    <w:rsid w:val="00A55ACD"/>
    <w:rsid w:val="00A63259"/>
    <w:rsid w:val="00A7452C"/>
    <w:rsid w:val="00A75EDD"/>
    <w:rsid w:val="00A76D77"/>
    <w:rsid w:val="00A76DCD"/>
    <w:rsid w:val="00A8416B"/>
    <w:rsid w:val="00A842C3"/>
    <w:rsid w:val="00AA196B"/>
    <w:rsid w:val="00AC582A"/>
    <w:rsid w:val="00AC609F"/>
    <w:rsid w:val="00AE08D2"/>
    <w:rsid w:val="00AE149A"/>
    <w:rsid w:val="00AF2C94"/>
    <w:rsid w:val="00B01F7E"/>
    <w:rsid w:val="00B02E43"/>
    <w:rsid w:val="00B03718"/>
    <w:rsid w:val="00B10135"/>
    <w:rsid w:val="00B21B8B"/>
    <w:rsid w:val="00B3087D"/>
    <w:rsid w:val="00B34794"/>
    <w:rsid w:val="00B51C2F"/>
    <w:rsid w:val="00B52676"/>
    <w:rsid w:val="00B5350D"/>
    <w:rsid w:val="00B56CB6"/>
    <w:rsid w:val="00B60421"/>
    <w:rsid w:val="00B72BA6"/>
    <w:rsid w:val="00B73127"/>
    <w:rsid w:val="00B91F0E"/>
    <w:rsid w:val="00B97C8B"/>
    <w:rsid w:val="00BA0E5E"/>
    <w:rsid w:val="00BA1EDF"/>
    <w:rsid w:val="00BA58E7"/>
    <w:rsid w:val="00BB0243"/>
    <w:rsid w:val="00BB41FE"/>
    <w:rsid w:val="00BB45BE"/>
    <w:rsid w:val="00BB7F4F"/>
    <w:rsid w:val="00BC5995"/>
    <w:rsid w:val="00BE1A5E"/>
    <w:rsid w:val="00BE2511"/>
    <w:rsid w:val="00BE25AF"/>
    <w:rsid w:val="00BE58B7"/>
    <w:rsid w:val="00BF406C"/>
    <w:rsid w:val="00BF40E3"/>
    <w:rsid w:val="00C10B5F"/>
    <w:rsid w:val="00C139B1"/>
    <w:rsid w:val="00C24D30"/>
    <w:rsid w:val="00C31AA8"/>
    <w:rsid w:val="00C34370"/>
    <w:rsid w:val="00C44AAA"/>
    <w:rsid w:val="00C4540D"/>
    <w:rsid w:val="00C479DD"/>
    <w:rsid w:val="00C50EB4"/>
    <w:rsid w:val="00C52B3E"/>
    <w:rsid w:val="00C52CF5"/>
    <w:rsid w:val="00C543C3"/>
    <w:rsid w:val="00C54609"/>
    <w:rsid w:val="00C61A03"/>
    <w:rsid w:val="00C64009"/>
    <w:rsid w:val="00C66777"/>
    <w:rsid w:val="00C6721E"/>
    <w:rsid w:val="00C71104"/>
    <w:rsid w:val="00C74010"/>
    <w:rsid w:val="00C755A5"/>
    <w:rsid w:val="00C85C25"/>
    <w:rsid w:val="00C913A1"/>
    <w:rsid w:val="00C97643"/>
    <w:rsid w:val="00CA1DD6"/>
    <w:rsid w:val="00CA7117"/>
    <w:rsid w:val="00CB6A08"/>
    <w:rsid w:val="00CC3F29"/>
    <w:rsid w:val="00CC6A99"/>
    <w:rsid w:val="00CD35BC"/>
    <w:rsid w:val="00CF1F2B"/>
    <w:rsid w:val="00CF5EEB"/>
    <w:rsid w:val="00D00AA3"/>
    <w:rsid w:val="00D07F73"/>
    <w:rsid w:val="00D10CBE"/>
    <w:rsid w:val="00D2041C"/>
    <w:rsid w:val="00D25ADE"/>
    <w:rsid w:val="00D36BA2"/>
    <w:rsid w:val="00D430C0"/>
    <w:rsid w:val="00D43297"/>
    <w:rsid w:val="00D44609"/>
    <w:rsid w:val="00D44DB6"/>
    <w:rsid w:val="00D46A30"/>
    <w:rsid w:val="00D50119"/>
    <w:rsid w:val="00D50741"/>
    <w:rsid w:val="00D54B4C"/>
    <w:rsid w:val="00D567F3"/>
    <w:rsid w:val="00D56809"/>
    <w:rsid w:val="00D6241E"/>
    <w:rsid w:val="00D66360"/>
    <w:rsid w:val="00D70D2A"/>
    <w:rsid w:val="00D73402"/>
    <w:rsid w:val="00D829DD"/>
    <w:rsid w:val="00D82A43"/>
    <w:rsid w:val="00D97228"/>
    <w:rsid w:val="00DA235E"/>
    <w:rsid w:val="00DA55FE"/>
    <w:rsid w:val="00DA7B5D"/>
    <w:rsid w:val="00DC243A"/>
    <w:rsid w:val="00DD17EB"/>
    <w:rsid w:val="00DE1815"/>
    <w:rsid w:val="00DE359C"/>
    <w:rsid w:val="00DF21EF"/>
    <w:rsid w:val="00DF333E"/>
    <w:rsid w:val="00DF58E7"/>
    <w:rsid w:val="00DF73B2"/>
    <w:rsid w:val="00E013FB"/>
    <w:rsid w:val="00E02176"/>
    <w:rsid w:val="00E042DD"/>
    <w:rsid w:val="00E11876"/>
    <w:rsid w:val="00E14045"/>
    <w:rsid w:val="00E153F5"/>
    <w:rsid w:val="00E1689C"/>
    <w:rsid w:val="00E2249B"/>
    <w:rsid w:val="00E23CBB"/>
    <w:rsid w:val="00E37B59"/>
    <w:rsid w:val="00E46C88"/>
    <w:rsid w:val="00E552F3"/>
    <w:rsid w:val="00E60CC5"/>
    <w:rsid w:val="00E73F7F"/>
    <w:rsid w:val="00E75FA1"/>
    <w:rsid w:val="00E778B4"/>
    <w:rsid w:val="00E84141"/>
    <w:rsid w:val="00EA36C6"/>
    <w:rsid w:val="00EB134B"/>
    <w:rsid w:val="00EC464E"/>
    <w:rsid w:val="00EC4B87"/>
    <w:rsid w:val="00EC6E24"/>
    <w:rsid w:val="00EC7F7E"/>
    <w:rsid w:val="00ED5725"/>
    <w:rsid w:val="00ED7031"/>
    <w:rsid w:val="00EE14B8"/>
    <w:rsid w:val="00EE3060"/>
    <w:rsid w:val="00EE4315"/>
    <w:rsid w:val="00EE506F"/>
    <w:rsid w:val="00EE6CE4"/>
    <w:rsid w:val="00F05636"/>
    <w:rsid w:val="00F06902"/>
    <w:rsid w:val="00F12507"/>
    <w:rsid w:val="00F26ED3"/>
    <w:rsid w:val="00F438BD"/>
    <w:rsid w:val="00F62B7A"/>
    <w:rsid w:val="00F6397D"/>
    <w:rsid w:val="00F7293E"/>
    <w:rsid w:val="00F76650"/>
    <w:rsid w:val="00F7770D"/>
    <w:rsid w:val="00F9187B"/>
    <w:rsid w:val="00F92385"/>
    <w:rsid w:val="00F97A04"/>
    <w:rsid w:val="00FA0CCB"/>
    <w:rsid w:val="00FA1B4F"/>
    <w:rsid w:val="00FA4664"/>
    <w:rsid w:val="00FA6B74"/>
    <w:rsid w:val="00FB4241"/>
    <w:rsid w:val="00FC47F9"/>
    <w:rsid w:val="00FD0495"/>
    <w:rsid w:val="00FD7120"/>
    <w:rsid w:val="00FE085D"/>
    <w:rsid w:val="00FE5580"/>
    <w:rsid w:val="00FF110C"/>
    <w:rsid w:val="00FF1584"/>
    <w:rsid w:val="00FF419D"/>
    <w:rsid w:val="00FF6D5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C3AB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4" w:qFormat="1"/>
    <w:lsdException w:name="heading 2" w:semiHidden="1" w:uiPriority="0" w:unhideWhenUsed="1"/>
    <w:lsdException w:name="heading 3" w:semiHidden="1" w:uiPriority="0" w:unhideWhenUsed="1" w:qFormat="1"/>
    <w:lsdException w:name="heading 4" w:semiHidden="1" w:uiPriority="9" w:unhideWhenUsed="1"/>
    <w:lsdException w:name="heading 5" w:semiHidden="1" w:uiPriority="9" w:unhideWhenUsed="1"/>
    <w:lsdException w:name="heading 6" w:uiPriority="4"/>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335BC"/>
    <w:pPr>
      <w:spacing w:after="0" w:line="240" w:lineRule="auto"/>
    </w:pPr>
    <w:rPr>
      <w:rFonts w:ascii="Book Antiqua" w:hAnsi="Book Antiqua"/>
      <w:sz w:val="26"/>
    </w:rPr>
  </w:style>
  <w:style w:type="paragraph" w:styleId="Heading1">
    <w:name w:val="heading 1"/>
    <w:basedOn w:val="Dummy"/>
    <w:next w:val="Standard"/>
    <w:link w:val="Heading1Char"/>
    <w:uiPriority w:val="4"/>
    <w:qFormat/>
    <w:rsid w:val="00705C88"/>
    <w:pPr>
      <w:spacing w:before="120" w:after="240"/>
      <w:ind w:right="2160"/>
    </w:pPr>
    <w:rPr>
      <w:rFonts w:eastAsiaTheme="majorEastAsia" w:cstheme="majorBidi"/>
      <w:caps/>
      <w:szCs w:val="32"/>
      <w:u w:val="single"/>
    </w:rPr>
  </w:style>
  <w:style w:type="paragraph" w:styleId="Heading2">
    <w:name w:val="heading 2"/>
    <w:basedOn w:val="Dummy"/>
    <w:next w:val="Standard"/>
    <w:link w:val="Heading2Char"/>
    <w:rsid w:val="00E84141"/>
    <w:pPr>
      <w:numPr>
        <w:ilvl w:val="1"/>
        <w:numId w:val="12"/>
      </w:numPr>
      <w:ind w:right="2160"/>
      <w:outlineLvl w:val="1"/>
    </w:pPr>
  </w:style>
  <w:style w:type="paragraph" w:styleId="Heading3">
    <w:name w:val="heading 3"/>
    <w:basedOn w:val="Dummy"/>
    <w:next w:val="Standard"/>
    <w:link w:val="Heading3Char"/>
    <w:qFormat/>
    <w:rsid w:val="00E84141"/>
    <w:pPr>
      <w:numPr>
        <w:ilvl w:val="2"/>
        <w:numId w:val="12"/>
      </w:numPr>
      <w:ind w:right="2160"/>
      <w:outlineLvl w:val="2"/>
    </w:pPr>
    <w:rPr>
      <w:rFonts w:eastAsiaTheme="majorEastAsia" w:cstheme="majorBidi"/>
      <w:szCs w:val="24"/>
    </w:rPr>
  </w:style>
  <w:style w:type="paragraph" w:styleId="Heading4">
    <w:name w:val="heading 4"/>
    <w:basedOn w:val="Dummy"/>
    <w:next w:val="Standard"/>
    <w:link w:val="Heading4Char"/>
    <w:uiPriority w:val="4"/>
    <w:rsid w:val="00E84141"/>
    <w:pPr>
      <w:numPr>
        <w:ilvl w:val="3"/>
        <w:numId w:val="12"/>
      </w:numPr>
      <w:ind w:right="2160"/>
      <w:outlineLvl w:val="3"/>
    </w:pPr>
    <w:rPr>
      <w:rFonts w:eastAsiaTheme="majorEastAsia" w:cstheme="majorBidi"/>
      <w:iCs/>
    </w:rPr>
  </w:style>
  <w:style w:type="paragraph" w:styleId="Heading5">
    <w:name w:val="heading 5"/>
    <w:basedOn w:val="Dummy"/>
    <w:next w:val="Standard"/>
    <w:link w:val="Heading5Char"/>
    <w:uiPriority w:val="4"/>
    <w:rsid w:val="00E84141"/>
    <w:pPr>
      <w:numPr>
        <w:ilvl w:val="4"/>
        <w:numId w:val="12"/>
      </w:numPr>
      <w:ind w:right="2160"/>
      <w:outlineLvl w:val="4"/>
    </w:pPr>
    <w:rPr>
      <w:rFonts w:eastAsiaTheme="majorEastAsia" w:cstheme="majorBidi"/>
    </w:rPr>
  </w:style>
  <w:style w:type="paragraph" w:styleId="Heading6">
    <w:name w:val="heading 6"/>
    <w:basedOn w:val="Dummy"/>
    <w:next w:val="Standard"/>
    <w:link w:val="Heading6Char"/>
    <w:uiPriority w:val="4"/>
    <w:rsid w:val="00E84141"/>
    <w:pPr>
      <w:numPr>
        <w:ilvl w:val="5"/>
        <w:numId w:val="12"/>
      </w:numPr>
      <w:spacing w:before="40"/>
      <w:ind w:right="2160"/>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A7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4"/>
    <w:rsid w:val="00705C88"/>
    <w:rPr>
      <w:rFonts w:ascii="Arial" w:eastAsiaTheme="majorEastAsia" w:hAnsi="Arial" w:cstheme="majorBidi"/>
      <w:b/>
      <w:caps/>
      <w:sz w:val="26"/>
      <w:szCs w:val="32"/>
      <w:u w:val="single"/>
    </w:rPr>
  </w:style>
  <w:style w:type="paragraph" w:styleId="TOCHeading">
    <w:name w:val="TOC Heading"/>
    <w:next w:val="Normal"/>
    <w:uiPriority w:val="39"/>
    <w:unhideWhenUsed/>
    <w:rsid w:val="001E2A62"/>
    <w:pPr>
      <w:spacing w:line="240" w:lineRule="auto"/>
      <w:jc w:val="center"/>
    </w:pPr>
    <w:rPr>
      <w:rFonts w:ascii="Arial" w:eastAsiaTheme="majorEastAsia" w:hAnsi="Arial" w:cstheme="majorBidi"/>
      <w:b/>
      <w:sz w:val="26"/>
      <w:szCs w:val="32"/>
    </w:rPr>
  </w:style>
  <w:style w:type="paragraph" w:styleId="Title">
    <w:name w:val="Title"/>
    <w:basedOn w:val="Dummy"/>
    <w:next w:val="Normal"/>
    <w:link w:val="TitleChar"/>
    <w:uiPriority w:val="10"/>
    <w:semiHidden/>
    <w:rsid w:val="00121089"/>
    <w:pPr>
      <w:spacing w:after="0"/>
      <w:contextualSpacing/>
      <w:jc w:val="center"/>
    </w:pPr>
    <w:rPr>
      <w:rFonts w:eastAsiaTheme="majorEastAsia" w:cstheme="majorBidi"/>
      <w:caps/>
      <w:szCs w:val="56"/>
    </w:rPr>
  </w:style>
  <w:style w:type="character" w:customStyle="1" w:styleId="TitleChar">
    <w:name w:val="Title Char"/>
    <w:basedOn w:val="DefaultParagraphFont"/>
    <w:link w:val="Title"/>
    <w:uiPriority w:val="10"/>
    <w:semiHidden/>
    <w:rsid w:val="0036017B"/>
    <w:rPr>
      <w:rFonts w:ascii="Arial" w:eastAsiaTheme="majorEastAsia" w:hAnsi="Arial" w:cstheme="majorBidi"/>
      <w:b/>
      <w:caps/>
      <w:sz w:val="26"/>
      <w:szCs w:val="56"/>
    </w:rPr>
  </w:style>
  <w:style w:type="paragraph" w:customStyle="1" w:styleId="Dummy">
    <w:name w:val="Dummy"/>
    <w:next w:val="Normal"/>
    <w:uiPriority w:val="19"/>
    <w:rsid w:val="00F62B7A"/>
    <w:pPr>
      <w:keepNext/>
      <w:keepLines/>
      <w:spacing w:after="120" w:line="240" w:lineRule="auto"/>
      <w:outlineLvl w:val="0"/>
    </w:pPr>
    <w:rPr>
      <w:rFonts w:ascii="Arial" w:hAnsi="Arial" w:cs="Arial"/>
      <w:b/>
      <w:sz w:val="26"/>
      <w:szCs w:val="26"/>
    </w:rPr>
  </w:style>
  <w:style w:type="character" w:customStyle="1" w:styleId="Heading2Char">
    <w:name w:val="Heading 2 Char"/>
    <w:basedOn w:val="DefaultParagraphFont"/>
    <w:link w:val="Heading2"/>
    <w:uiPriority w:val="4"/>
    <w:rsid w:val="008476D7"/>
    <w:rPr>
      <w:rFonts w:ascii="Arial" w:hAnsi="Arial" w:cs="Arial"/>
      <w:b/>
      <w:sz w:val="26"/>
      <w:szCs w:val="26"/>
    </w:rPr>
  </w:style>
  <w:style w:type="character" w:customStyle="1" w:styleId="Heading3Char">
    <w:name w:val="Heading 3 Char"/>
    <w:basedOn w:val="DefaultParagraphFont"/>
    <w:link w:val="Heading3"/>
    <w:uiPriority w:val="4"/>
    <w:rsid w:val="008476D7"/>
    <w:rPr>
      <w:rFonts w:ascii="Arial" w:eastAsiaTheme="majorEastAsia" w:hAnsi="Arial" w:cstheme="majorBidi"/>
      <w:b/>
      <w:sz w:val="26"/>
      <w:szCs w:val="24"/>
    </w:rPr>
  </w:style>
  <w:style w:type="character" w:customStyle="1" w:styleId="Heading4Char">
    <w:name w:val="Heading 4 Char"/>
    <w:basedOn w:val="DefaultParagraphFont"/>
    <w:link w:val="Heading4"/>
    <w:uiPriority w:val="4"/>
    <w:rsid w:val="008476D7"/>
    <w:rPr>
      <w:rFonts w:ascii="Arial" w:eastAsiaTheme="majorEastAsia" w:hAnsi="Arial" w:cstheme="majorBidi"/>
      <w:b/>
      <w:iCs/>
      <w:sz w:val="26"/>
      <w:szCs w:val="26"/>
    </w:rPr>
  </w:style>
  <w:style w:type="character" w:customStyle="1" w:styleId="Heading5Char">
    <w:name w:val="Heading 5 Char"/>
    <w:basedOn w:val="DefaultParagraphFont"/>
    <w:link w:val="Heading5"/>
    <w:uiPriority w:val="4"/>
    <w:rsid w:val="008476D7"/>
    <w:rPr>
      <w:rFonts w:ascii="Arial" w:eastAsiaTheme="majorEastAsia" w:hAnsi="Arial" w:cstheme="majorBidi"/>
      <w:b/>
      <w:sz w:val="26"/>
      <w:szCs w:val="26"/>
    </w:rPr>
  </w:style>
  <w:style w:type="paragraph" w:customStyle="1" w:styleId="Main">
    <w:name w:val="Main"/>
    <w:next w:val="Normal"/>
    <w:uiPriority w:val="19"/>
    <w:rsid w:val="00F62B7A"/>
    <w:pPr>
      <w:spacing w:after="0" w:line="240" w:lineRule="auto"/>
      <w:jc w:val="center"/>
    </w:pPr>
    <w:rPr>
      <w:rFonts w:ascii="Arial" w:eastAsiaTheme="majorEastAsia" w:hAnsi="Arial" w:cstheme="majorBidi"/>
      <w:b/>
      <w:caps/>
      <w:sz w:val="26"/>
      <w:szCs w:val="56"/>
    </w:rPr>
  </w:style>
  <w:style w:type="paragraph" w:customStyle="1" w:styleId="Mainex">
    <w:name w:val="Mainex"/>
    <w:basedOn w:val="Main"/>
    <w:next w:val="Normal"/>
    <w:uiPriority w:val="19"/>
    <w:rsid w:val="000A6E05"/>
    <w:pPr>
      <w:keepNext/>
      <w:spacing w:line="360" w:lineRule="auto"/>
      <w:outlineLvl w:val="0"/>
    </w:pPr>
    <w:rPr>
      <w:spacing w:val="120"/>
    </w:rPr>
  </w:style>
  <w:style w:type="paragraph" w:styleId="TOC2">
    <w:name w:val="toc 2"/>
    <w:basedOn w:val="Normal"/>
    <w:next w:val="Normal"/>
    <w:uiPriority w:val="39"/>
    <w:unhideWhenUsed/>
    <w:rsid w:val="00ED5725"/>
    <w:pPr>
      <w:ind w:left="864" w:hanging="648"/>
    </w:pPr>
    <w:rPr>
      <w:rFonts w:eastAsiaTheme="minorEastAsia" w:cs="Times New Roman"/>
    </w:rPr>
  </w:style>
  <w:style w:type="paragraph" w:styleId="TOC1">
    <w:name w:val="toc 1"/>
    <w:basedOn w:val="Normal"/>
    <w:next w:val="Normal"/>
    <w:uiPriority w:val="39"/>
    <w:unhideWhenUsed/>
    <w:rsid w:val="00ED5725"/>
    <w:pPr>
      <w:ind w:left="432" w:hanging="432"/>
    </w:pPr>
    <w:rPr>
      <w:rFonts w:eastAsiaTheme="minorEastAsia" w:cs="Times New Roman"/>
    </w:rPr>
  </w:style>
  <w:style w:type="paragraph" w:styleId="TOC3">
    <w:name w:val="toc 3"/>
    <w:basedOn w:val="Normal"/>
    <w:next w:val="Normal"/>
    <w:uiPriority w:val="39"/>
    <w:unhideWhenUsed/>
    <w:rsid w:val="008C7413"/>
    <w:pPr>
      <w:ind w:left="1296" w:hanging="864"/>
    </w:pPr>
    <w:rPr>
      <w:rFonts w:eastAsiaTheme="minorEastAsia" w:cs="Times New Roman"/>
    </w:rPr>
  </w:style>
  <w:style w:type="character" w:styleId="Hyperlink">
    <w:name w:val="Hyperlink"/>
    <w:basedOn w:val="DefaultParagraphFont"/>
    <w:uiPriority w:val="99"/>
    <w:rsid w:val="00D82A43"/>
    <w:rPr>
      <w:color w:val="0563C1" w:themeColor="hyperlink"/>
      <w:u w:val="single"/>
    </w:rPr>
  </w:style>
  <w:style w:type="numbering" w:customStyle="1" w:styleId="FoFCoLOP">
    <w:name w:val="FoF/CoL/OP"/>
    <w:uiPriority w:val="99"/>
    <w:rsid w:val="008E6AE6"/>
    <w:pPr>
      <w:numPr>
        <w:numId w:val="2"/>
      </w:numPr>
    </w:pPr>
  </w:style>
  <w:style w:type="paragraph" w:styleId="TOC9">
    <w:name w:val="toc 9"/>
    <w:basedOn w:val="Normal"/>
    <w:next w:val="Normal"/>
    <w:autoRedefine/>
    <w:uiPriority w:val="39"/>
    <w:semiHidden/>
    <w:unhideWhenUsed/>
    <w:rsid w:val="00D82A43"/>
    <w:pPr>
      <w:spacing w:after="100"/>
      <w:ind w:left="2080"/>
    </w:pPr>
  </w:style>
  <w:style w:type="paragraph" w:styleId="Header">
    <w:name w:val="header"/>
    <w:basedOn w:val="Normal"/>
    <w:link w:val="HeaderChar"/>
    <w:uiPriority w:val="99"/>
    <w:rsid w:val="0098138E"/>
    <w:pPr>
      <w:tabs>
        <w:tab w:val="center" w:pos="4680"/>
        <w:tab w:val="right" w:pos="9360"/>
      </w:tabs>
    </w:pPr>
  </w:style>
  <w:style w:type="character" w:customStyle="1" w:styleId="HeaderChar">
    <w:name w:val="Header Char"/>
    <w:basedOn w:val="DefaultParagraphFont"/>
    <w:link w:val="Header"/>
    <w:uiPriority w:val="99"/>
    <w:rsid w:val="000A56F2"/>
    <w:rPr>
      <w:rFonts w:ascii="Book Antiqua" w:hAnsi="Book Antiqua"/>
      <w:sz w:val="26"/>
    </w:rPr>
  </w:style>
  <w:style w:type="paragraph" w:styleId="Footer">
    <w:name w:val="footer"/>
    <w:basedOn w:val="Normal"/>
    <w:link w:val="FooterChar"/>
    <w:uiPriority w:val="99"/>
    <w:rsid w:val="00EE3060"/>
    <w:pPr>
      <w:tabs>
        <w:tab w:val="center" w:pos="4680"/>
        <w:tab w:val="right" w:pos="9360"/>
      </w:tabs>
    </w:pPr>
  </w:style>
  <w:style w:type="character" w:customStyle="1" w:styleId="FooterChar">
    <w:name w:val="Footer Char"/>
    <w:basedOn w:val="DefaultParagraphFont"/>
    <w:link w:val="Footer"/>
    <w:uiPriority w:val="99"/>
    <w:rsid w:val="007657C1"/>
    <w:rPr>
      <w:rFonts w:ascii="Book Antiqua" w:hAnsi="Book Antiqua"/>
      <w:sz w:val="26"/>
    </w:rPr>
  </w:style>
  <w:style w:type="paragraph" w:customStyle="1" w:styleId="BlockQuote">
    <w:name w:val="Block Quote"/>
    <w:basedOn w:val="Standard"/>
    <w:uiPriority w:val="5"/>
    <w:qFormat/>
    <w:rsid w:val="00EA36C6"/>
    <w:pPr>
      <w:spacing w:after="120"/>
      <w:ind w:left="720" w:right="720"/>
    </w:pPr>
  </w:style>
  <w:style w:type="paragraph" w:styleId="FootnoteText">
    <w:name w:val="footnote text"/>
    <w:aliases w:val="Footnote style"/>
    <w:basedOn w:val="Normal"/>
    <w:link w:val="FootnoteTextChar"/>
    <w:rsid w:val="00B01F7E"/>
    <w:pPr>
      <w:spacing w:after="120"/>
    </w:pPr>
    <w:rPr>
      <w:sz w:val="22"/>
      <w:szCs w:val="20"/>
    </w:rPr>
  </w:style>
  <w:style w:type="character" w:customStyle="1" w:styleId="FootnoteTextChar">
    <w:name w:val="Footnote Text Char"/>
    <w:aliases w:val="Footnote style Char"/>
    <w:basedOn w:val="DefaultParagraphFont"/>
    <w:link w:val="FootnoteText"/>
    <w:rsid w:val="007657C1"/>
    <w:rPr>
      <w:rFonts w:ascii="Book Antiqua" w:hAnsi="Book Antiqua"/>
      <w:szCs w:val="20"/>
    </w:rPr>
  </w:style>
  <w:style w:type="character" w:styleId="FootnoteReference">
    <w:name w:val="footnote reference"/>
    <w:aliases w:val="o,fr,Style 3,o1,o2,o3,o4,o5,o6,o11,o21,o7"/>
    <w:basedOn w:val="DefaultParagraphFont"/>
    <w:uiPriority w:val="99"/>
    <w:semiHidden/>
    <w:unhideWhenUsed/>
    <w:rsid w:val="00DF58E7"/>
    <w:rPr>
      <w:vertAlign w:val="superscript"/>
    </w:rPr>
  </w:style>
  <w:style w:type="paragraph" w:customStyle="1" w:styleId="FoF">
    <w:name w:val="FoF"/>
    <w:basedOn w:val="Standard"/>
    <w:uiPriority w:val="6"/>
    <w:qFormat/>
    <w:rsid w:val="001E2A62"/>
    <w:pPr>
      <w:numPr>
        <w:numId w:val="3"/>
      </w:numPr>
      <w:ind w:firstLine="547"/>
    </w:pPr>
  </w:style>
  <w:style w:type="paragraph" w:customStyle="1" w:styleId="CoL">
    <w:name w:val="CoL"/>
    <w:basedOn w:val="Standard"/>
    <w:uiPriority w:val="7"/>
    <w:qFormat/>
    <w:rsid w:val="001E2A62"/>
    <w:pPr>
      <w:numPr>
        <w:numId w:val="4"/>
      </w:numPr>
      <w:ind w:firstLine="547"/>
    </w:pPr>
  </w:style>
  <w:style w:type="paragraph" w:styleId="NoSpacing">
    <w:name w:val="No Spacing"/>
    <w:basedOn w:val="Standard"/>
    <w:uiPriority w:val="1"/>
    <w:qFormat/>
    <w:rsid w:val="008476D7"/>
    <w:pPr>
      <w:spacing w:after="120"/>
      <w:contextualSpacing/>
    </w:pPr>
  </w:style>
  <w:style w:type="paragraph" w:customStyle="1" w:styleId="OP">
    <w:name w:val="OP"/>
    <w:basedOn w:val="Standard"/>
    <w:uiPriority w:val="8"/>
    <w:qFormat/>
    <w:rsid w:val="001E2A62"/>
    <w:pPr>
      <w:numPr>
        <w:numId w:val="5"/>
      </w:numPr>
    </w:pPr>
  </w:style>
  <w:style w:type="paragraph" w:styleId="BalloonText">
    <w:name w:val="Balloon Text"/>
    <w:basedOn w:val="Normal"/>
    <w:link w:val="BalloonTextChar"/>
    <w:uiPriority w:val="99"/>
    <w:semiHidden/>
    <w:unhideWhenUsed/>
    <w:rsid w:val="004C7D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D3A"/>
    <w:rPr>
      <w:rFonts w:ascii="Segoe UI" w:hAnsi="Segoe UI" w:cs="Segoe UI"/>
      <w:sz w:val="18"/>
      <w:szCs w:val="18"/>
    </w:rPr>
  </w:style>
  <w:style w:type="numbering" w:customStyle="1" w:styleId="Headings">
    <w:name w:val="Headings"/>
    <w:uiPriority w:val="99"/>
    <w:rsid w:val="00E84141"/>
    <w:pPr>
      <w:numPr>
        <w:numId w:val="6"/>
      </w:numPr>
    </w:pPr>
  </w:style>
  <w:style w:type="paragraph" w:customStyle="1" w:styleId="Standard">
    <w:name w:val="Standard"/>
    <w:basedOn w:val="Normal"/>
    <w:qFormat/>
    <w:rsid w:val="00E042DD"/>
    <w:pPr>
      <w:spacing w:after="240"/>
    </w:pPr>
  </w:style>
  <w:style w:type="paragraph" w:customStyle="1" w:styleId="ListAlpha">
    <w:name w:val="List Alpha"/>
    <w:basedOn w:val="Standard"/>
    <w:uiPriority w:val="4"/>
    <w:qFormat/>
    <w:rsid w:val="00E84141"/>
    <w:pPr>
      <w:numPr>
        <w:ilvl w:val="7"/>
        <w:numId w:val="12"/>
      </w:numPr>
      <w:spacing w:after="120"/>
    </w:pPr>
  </w:style>
  <w:style w:type="paragraph" w:styleId="ListBullet">
    <w:name w:val="List Bullet"/>
    <w:basedOn w:val="Standard"/>
    <w:uiPriority w:val="4"/>
    <w:qFormat/>
    <w:rsid w:val="001F2819"/>
    <w:pPr>
      <w:numPr>
        <w:numId w:val="9"/>
      </w:numPr>
      <w:tabs>
        <w:tab w:val="clear" w:pos="360"/>
      </w:tabs>
      <w:spacing w:after="120"/>
      <w:ind w:left="1080"/>
    </w:pPr>
  </w:style>
  <w:style w:type="character" w:customStyle="1" w:styleId="Heading6Char">
    <w:name w:val="Heading 6 Char"/>
    <w:basedOn w:val="DefaultParagraphFont"/>
    <w:link w:val="Heading6"/>
    <w:uiPriority w:val="4"/>
    <w:rsid w:val="008476D7"/>
    <w:rPr>
      <w:rFonts w:ascii="Arial" w:eastAsiaTheme="majorEastAsia" w:hAnsi="Arial" w:cstheme="majorBidi"/>
      <w:b/>
      <w:sz w:val="26"/>
      <w:szCs w:val="26"/>
    </w:rPr>
  </w:style>
  <w:style w:type="paragraph" w:styleId="TOC4">
    <w:name w:val="toc 4"/>
    <w:basedOn w:val="Normal"/>
    <w:next w:val="Normal"/>
    <w:autoRedefine/>
    <w:uiPriority w:val="39"/>
    <w:unhideWhenUsed/>
    <w:rsid w:val="008C7413"/>
    <w:pPr>
      <w:ind w:left="1728" w:hanging="1080"/>
    </w:pPr>
  </w:style>
  <w:style w:type="paragraph" w:styleId="TOC5">
    <w:name w:val="toc 5"/>
    <w:basedOn w:val="Normal"/>
    <w:next w:val="Normal"/>
    <w:autoRedefine/>
    <w:uiPriority w:val="39"/>
    <w:unhideWhenUsed/>
    <w:rsid w:val="008C7413"/>
    <w:pPr>
      <w:ind w:left="2160" w:hanging="1296"/>
    </w:pPr>
  </w:style>
  <w:style w:type="paragraph" w:styleId="TOC6">
    <w:name w:val="toc 6"/>
    <w:basedOn w:val="Normal"/>
    <w:next w:val="Normal"/>
    <w:autoRedefine/>
    <w:uiPriority w:val="39"/>
    <w:unhideWhenUsed/>
    <w:rsid w:val="008C7413"/>
    <w:pPr>
      <w:ind w:left="2592" w:hanging="1512"/>
    </w:pPr>
  </w:style>
  <w:style w:type="paragraph" w:customStyle="1" w:styleId="TableText">
    <w:name w:val="Table Text"/>
    <w:basedOn w:val="NoSpacing"/>
    <w:uiPriority w:val="5"/>
    <w:rsid w:val="008476D7"/>
    <w:pPr>
      <w:spacing w:after="0"/>
      <w:contextualSpacing w:val="0"/>
    </w:pPr>
    <w:rPr>
      <w:sz w:val="22"/>
    </w:rPr>
  </w:style>
  <w:style w:type="paragraph" w:customStyle="1" w:styleId="ListNum">
    <w:name w:val="List Num"/>
    <w:basedOn w:val="Standard"/>
    <w:uiPriority w:val="4"/>
    <w:rsid w:val="00E84141"/>
    <w:pPr>
      <w:numPr>
        <w:ilvl w:val="6"/>
        <w:numId w:val="12"/>
      </w:numPr>
      <w:spacing w:after="120"/>
    </w:pPr>
  </w:style>
  <w:style w:type="character" w:customStyle="1" w:styleId="UnresolvedMention1">
    <w:name w:val="Unresolved Mention1"/>
    <w:basedOn w:val="DefaultParagraphFont"/>
    <w:uiPriority w:val="99"/>
    <w:semiHidden/>
    <w:unhideWhenUsed/>
    <w:rsid w:val="006335BC"/>
    <w:rPr>
      <w:color w:val="605E5C"/>
      <w:shd w:val="clear" w:color="auto" w:fill="E1DFDD"/>
    </w:rPr>
  </w:style>
  <w:style w:type="paragraph" w:styleId="ListParagraph">
    <w:name w:val="List Paragraph"/>
    <w:basedOn w:val="Normal"/>
    <w:uiPriority w:val="34"/>
    <w:qFormat/>
    <w:rsid w:val="00E042DD"/>
    <w:pPr>
      <w:spacing w:after="240"/>
      <w:ind w:left="720"/>
      <w:contextualSpacing/>
    </w:pPr>
    <w:rPr>
      <w:rFonts w:ascii="Palatino" w:eastAsia="Times New Roman" w:hAnsi="Palatino" w:cs="Times New Roman"/>
      <w:szCs w:val="20"/>
    </w:rPr>
  </w:style>
  <w:style w:type="table" w:customStyle="1" w:styleId="TableGrid1">
    <w:name w:val="Table Grid1"/>
    <w:basedOn w:val="TableNormal"/>
    <w:next w:val="TableGrid"/>
    <w:rsid w:val="007446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Caption">
    <w:name w:val="Res-Caption"/>
    <w:basedOn w:val="Normal"/>
    <w:rsid w:val="007446B6"/>
    <w:pPr>
      <w:ind w:left="720" w:right="720"/>
    </w:pPr>
    <w:rPr>
      <w:rFonts w:ascii="Palatino" w:eastAsia="Times New Roman" w:hAnsi="Palatino" w:cs="Times New Roman"/>
      <w:szCs w:val="20"/>
    </w:rPr>
  </w:style>
  <w:style w:type="character" w:styleId="CommentReference">
    <w:name w:val="annotation reference"/>
    <w:basedOn w:val="DefaultParagraphFont"/>
    <w:unhideWhenUsed/>
    <w:rsid w:val="0026179B"/>
    <w:rPr>
      <w:sz w:val="16"/>
      <w:szCs w:val="16"/>
    </w:rPr>
  </w:style>
  <w:style w:type="paragraph" w:styleId="CommentText">
    <w:name w:val="annotation text"/>
    <w:basedOn w:val="Normal"/>
    <w:link w:val="CommentTextChar"/>
    <w:unhideWhenUsed/>
    <w:rsid w:val="0026179B"/>
    <w:rPr>
      <w:sz w:val="20"/>
      <w:szCs w:val="20"/>
    </w:rPr>
  </w:style>
  <w:style w:type="character" w:customStyle="1" w:styleId="CommentTextChar">
    <w:name w:val="Comment Text Char"/>
    <w:basedOn w:val="DefaultParagraphFont"/>
    <w:link w:val="CommentText"/>
    <w:rsid w:val="0026179B"/>
    <w:rPr>
      <w:rFonts w:ascii="Book Antiqua" w:hAnsi="Book Antiqua"/>
      <w:sz w:val="20"/>
      <w:szCs w:val="20"/>
    </w:rPr>
  </w:style>
  <w:style w:type="paragraph" w:styleId="CommentSubject">
    <w:name w:val="annotation subject"/>
    <w:basedOn w:val="CommentText"/>
    <w:next w:val="CommentText"/>
    <w:link w:val="CommentSubjectChar"/>
    <w:uiPriority w:val="99"/>
    <w:semiHidden/>
    <w:unhideWhenUsed/>
    <w:rsid w:val="0026179B"/>
    <w:rPr>
      <w:b/>
      <w:bCs/>
    </w:rPr>
  </w:style>
  <w:style w:type="character" w:customStyle="1" w:styleId="CommentSubjectChar">
    <w:name w:val="Comment Subject Char"/>
    <w:basedOn w:val="CommentTextChar"/>
    <w:link w:val="CommentSubject"/>
    <w:uiPriority w:val="99"/>
    <w:semiHidden/>
    <w:rsid w:val="0026179B"/>
    <w:rPr>
      <w:rFonts w:ascii="Book Antiqua" w:hAnsi="Book Antiqua"/>
      <w:b/>
      <w:bCs/>
      <w:sz w:val="20"/>
      <w:szCs w:val="20"/>
    </w:rPr>
  </w:style>
  <w:style w:type="paragraph" w:styleId="Caption">
    <w:name w:val="caption"/>
    <w:basedOn w:val="Normal"/>
    <w:next w:val="Normal"/>
    <w:uiPriority w:val="35"/>
    <w:unhideWhenUsed/>
    <w:qFormat/>
    <w:rsid w:val="00EC7F7E"/>
    <w:pPr>
      <w:jc w:val="center"/>
    </w:pPr>
    <w:rPr>
      <w:i/>
      <w:iCs/>
      <w:szCs w:val="18"/>
    </w:rPr>
  </w:style>
  <w:style w:type="paragraph" w:styleId="Revision">
    <w:name w:val="Revision"/>
    <w:hidden/>
    <w:uiPriority w:val="99"/>
    <w:semiHidden/>
    <w:rsid w:val="001A6E1D"/>
    <w:pPr>
      <w:spacing w:after="0" w:line="240" w:lineRule="auto"/>
    </w:pPr>
    <w:rPr>
      <w:rFonts w:ascii="Book Antiqua" w:hAnsi="Book Antiqua"/>
      <w:sz w:val="26"/>
    </w:rPr>
  </w:style>
  <w:style w:type="paragraph" w:customStyle="1" w:styleId="Default">
    <w:name w:val="Default"/>
    <w:rsid w:val="00026C29"/>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F51F0"/>
    <w:rPr>
      <w:color w:val="605E5C"/>
      <w:shd w:val="clear" w:color="auto" w:fill="E1DFDD"/>
    </w:rPr>
  </w:style>
  <w:style w:type="character" w:customStyle="1" w:styleId="normaltextrun1">
    <w:name w:val="normaltextrun1"/>
    <w:basedOn w:val="DefaultParagraphFont"/>
    <w:rsid w:val="00267117"/>
  </w:style>
  <w:style w:type="paragraph" w:customStyle="1" w:styleId="paragraph">
    <w:name w:val="paragraph"/>
    <w:basedOn w:val="Normal"/>
    <w:rsid w:val="00A76D77"/>
    <w:rPr>
      <w:rFonts w:ascii="Times New Roman" w:eastAsia="Times New Roman" w:hAnsi="Times New Roman" w:cs="Times New Roman"/>
      <w:sz w:val="24"/>
      <w:szCs w:val="24"/>
    </w:rPr>
  </w:style>
  <w:style w:type="character" w:customStyle="1" w:styleId="eop">
    <w:name w:val="eop"/>
    <w:basedOn w:val="DefaultParagraphFont"/>
    <w:rsid w:val="00A76D77"/>
  </w:style>
  <w:style w:type="character" w:styleId="FollowedHyperlink">
    <w:name w:val="FollowedHyperlink"/>
    <w:basedOn w:val="DefaultParagraphFont"/>
    <w:uiPriority w:val="99"/>
    <w:semiHidden/>
    <w:unhideWhenUsed/>
    <w:rsid w:val="006936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347648">
      <w:bodyDiv w:val="1"/>
      <w:marLeft w:val="0"/>
      <w:marRight w:val="0"/>
      <w:marTop w:val="0"/>
      <w:marBottom w:val="0"/>
      <w:divBdr>
        <w:top w:val="none" w:sz="0" w:space="0" w:color="auto"/>
        <w:left w:val="none" w:sz="0" w:space="0" w:color="auto"/>
        <w:bottom w:val="none" w:sz="0" w:space="0" w:color="auto"/>
        <w:right w:val="none" w:sz="0" w:space="0" w:color="auto"/>
      </w:divBdr>
    </w:div>
    <w:div w:id="540557398">
      <w:bodyDiv w:val="1"/>
      <w:marLeft w:val="0"/>
      <w:marRight w:val="0"/>
      <w:marTop w:val="0"/>
      <w:marBottom w:val="0"/>
      <w:divBdr>
        <w:top w:val="none" w:sz="0" w:space="0" w:color="auto"/>
        <w:left w:val="none" w:sz="0" w:space="0" w:color="auto"/>
        <w:bottom w:val="none" w:sz="0" w:space="0" w:color="auto"/>
        <w:right w:val="none" w:sz="0" w:space="0" w:color="auto"/>
      </w:divBdr>
      <w:divsChild>
        <w:div w:id="1868329829">
          <w:marLeft w:val="0"/>
          <w:marRight w:val="0"/>
          <w:marTop w:val="0"/>
          <w:marBottom w:val="0"/>
          <w:divBdr>
            <w:top w:val="none" w:sz="0" w:space="0" w:color="auto"/>
            <w:left w:val="none" w:sz="0" w:space="0" w:color="auto"/>
            <w:bottom w:val="none" w:sz="0" w:space="0" w:color="auto"/>
            <w:right w:val="none" w:sz="0" w:space="0" w:color="auto"/>
          </w:divBdr>
          <w:divsChild>
            <w:div w:id="1368405279">
              <w:marLeft w:val="0"/>
              <w:marRight w:val="0"/>
              <w:marTop w:val="0"/>
              <w:marBottom w:val="0"/>
              <w:divBdr>
                <w:top w:val="none" w:sz="0" w:space="0" w:color="auto"/>
                <w:left w:val="none" w:sz="0" w:space="0" w:color="auto"/>
                <w:bottom w:val="none" w:sz="0" w:space="0" w:color="auto"/>
                <w:right w:val="none" w:sz="0" w:space="0" w:color="auto"/>
              </w:divBdr>
              <w:divsChild>
                <w:div w:id="750809762">
                  <w:marLeft w:val="0"/>
                  <w:marRight w:val="0"/>
                  <w:marTop w:val="0"/>
                  <w:marBottom w:val="0"/>
                  <w:divBdr>
                    <w:top w:val="none" w:sz="0" w:space="0" w:color="auto"/>
                    <w:left w:val="none" w:sz="0" w:space="0" w:color="auto"/>
                    <w:bottom w:val="none" w:sz="0" w:space="0" w:color="auto"/>
                    <w:right w:val="none" w:sz="0" w:space="0" w:color="auto"/>
                  </w:divBdr>
                  <w:divsChild>
                    <w:div w:id="980354323">
                      <w:marLeft w:val="0"/>
                      <w:marRight w:val="0"/>
                      <w:marTop w:val="0"/>
                      <w:marBottom w:val="0"/>
                      <w:divBdr>
                        <w:top w:val="none" w:sz="0" w:space="0" w:color="auto"/>
                        <w:left w:val="none" w:sz="0" w:space="0" w:color="auto"/>
                        <w:bottom w:val="none" w:sz="0" w:space="0" w:color="auto"/>
                        <w:right w:val="none" w:sz="0" w:space="0" w:color="auto"/>
                      </w:divBdr>
                      <w:divsChild>
                        <w:div w:id="1122505637">
                          <w:marLeft w:val="0"/>
                          <w:marRight w:val="0"/>
                          <w:marTop w:val="0"/>
                          <w:marBottom w:val="0"/>
                          <w:divBdr>
                            <w:top w:val="none" w:sz="0" w:space="0" w:color="auto"/>
                            <w:left w:val="none" w:sz="0" w:space="0" w:color="auto"/>
                            <w:bottom w:val="none" w:sz="0" w:space="0" w:color="auto"/>
                            <w:right w:val="none" w:sz="0" w:space="0" w:color="auto"/>
                          </w:divBdr>
                          <w:divsChild>
                            <w:div w:id="1863930437">
                              <w:marLeft w:val="0"/>
                              <w:marRight w:val="0"/>
                              <w:marTop w:val="0"/>
                              <w:marBottom w:val="0"/>
                              <w:divBdr>
                                <w:top w:val="none" w:sz="0" w:space="0" w:color="auto"/>
                                <w:left w:val="none" w:sz="0" w:space="0" w:color="auto"/>
                                <w:bottom w:val="none" w:sz="0" w:space="0" w:color="auto"/>
                                <w:right w:val="none" w:sz="0" w:space="0" w:color="auto"/>
                              </w:divBdr>
                              <w:divsChild>
                                <w:div w:id="645400409">
                                  <w:marLeft w:val="0"/>
                                  <w:marRight w:val="0"/>
                                  <w:marTop w:val="0"/>
                                  <w:marBottom w:val="0"/>
                                  <w:divBdr>
                                    <w:top w:val="none" w:sz="0" w:space="0" w:color="auto"/>
                                    <w:left w:val="none" w:sz="0" w:space="0" w:color="auto"/>
                                    <w:bottom w:val="none" w:sz="0" w:space="0" w:color="auto"/>
                                    <w:right w:val="none" w:sz="0" w:space="0" w:color="auto"/>
                                  </w:divBdr>
                                  <w:divsChild>
                                    <w:div w:id="1225293207">
                                      <w:marLeft w:val="0"/>
                                      <w:marRight w:val="0"/>
                                      <w:marTop w:val="0"/>
                                      <w:marBottom w:val="0"/>
                                      <w:divBdr>
                                        <w:top w:val="none" w:sz="0" w:space="0" w:color="auto"/>
                                        <w:left w:val="none" w:sz="0" w:space="0" w:color="auto"/>
                                        <w:bottom w:val="none" w:sz="0" w:space="0" w:color="auto"/>
                                        <w:right w:val="none" w:sz="0" w:space="0" w:color="auto"/>
                                      </w:divBdr>
                                      <w:divsChild>
                                        <w:div w:id="1633900999">
                                          <w:marLeft w:val="0"/>
                                          <w:marRight w:val="0"/>
                                          <w:marTop w:val="0"/>
                                          <w:marBottom w:val="0"/>
                                          <w:divBdr>
                                            <w:top w:val="none" w:sz="0" w:space="0" w:color="auto"/>
                                            <w:left w:val="none" w:sz="0" w:space="0" w:color="auto"/>
                                            <w:bottom w:val="none" w:sz="0" w:space="0" w:color="auto"/>
                                            <w:right w:val="none" w:sz="0" w:space="0" w:color="auto"/>
                                          </w:divBdr>
                                          <w:divsChild>
                                            <w:div w:id="1812862096">
                                              <w:marLeft w:val="0"/>
                                              <w:marRight w:val="0"/>
                                              <w:marTop w:val="0"/>
                                              <w:marBottom w:val="0"/>
                                              <w:divBdr>
                                                <w:top w:val="none" w:sz="0" w:space="0" w:color="auto"/>
                                                <w:left w:val="none" w:sz="0" w:space="0" w:color="auto"/>
                                                <w:bottom w:val="none" w:sz="0" w:space="0" w:color="auto"/>
                                                <w:right w:val="none" w:sz="0" w:space="0" w:color="auto"/>
                                              </w:divBdr>
                                              <w:divsChild>
                                                <w:div w:id="2032996826">
                                                  <w:marLeft w:val="0"/>
                                                  <w:marRight w:val="0"/>
                                                  <w:marTop w:val="0"/>
                                                  <w:marBottom w:val="555"/>
                                                  <w:divBdr>
                                                    <w:top w:val="none" w:sz="0" w:space="0" w:color="auto"/>
                                                    <w:left w:val="none" w:sz="0" w:space="0" w:color="auto"/>
                                                    <w:bottom w:val="none" w:sz="0" w:space="0" w:color="auto"/>
                                                    <w:right w:val="none" w:sz="0" w:space="0" w:color="auto"/>
                                                  </w:divBdr>
                                                  <w:divsChild>
                                                    <w:div w:id="1888643883">
                                                      <w:marLeft w:val="0"/>
                                                      <w:marRight w:val="0"/>
                                                      <w:marTop w:val="0"/>
                                                      <w:marBottom w:val="0"/>
                                                      <w:divBdr>
                                                        <w:top w:val="none" w:sz="0" w:space="0" w:color="auto"/>
                                                        <w:left w:val="none" w:sz="0" w:space="0" w:color="auto"/>
                                                        <w:bottom w:val="none" w:sz="0" w:space="0" w:color="auto"/>
                                                        <w:right w:val="none" w:sz="0" w:space="0" w:color="auto"/>
                                                      </w:divBdr>
                                                      <w:divsChild>
                                                        <w:div w:id="604266856">
                                                          <w:marLeft w:val="0"/>
                                                          <w:marRight w:val="0"/>
                                                          <w:marTop w:val="0"/>
                                                          <w:marBottom w:val="0"/>
                                                          <w:divBdr>
                                                            <w:top w:val="single" w:sz="12" w:space="0" w:color="ABABAB"/>
                                                            <w:left w:val="single" w:sz="6" w:space="0" w:color="ABABAB"/>
                                                            <w:bottom w:val="single" w:sz="6" w:space="0" w:color="ABABAB"/>
                                                            <w:right w:val="single" w:sz="6" w:space="0" w:color="ABABAB"/>
                                                          </w:divBdr>
                                                          <w:divsChild>
                                                            <w:div w:id="1997101694">
                                                              <w:marLeft w:val="0"/>
                                                              <w:marRight w:val="0"/>
                                                              <w:marTop w:val="0"/>
                                                              <w:marBottom w:val="0"/>
                                                              <w:divBdr>
                                                                <w:top w:val="none" w:sz="0" w:space="0" w:color="auto"/>
                                                                <w:left w:val="none" w:sz="0" w:space="0" w:color="auto"/>
                                                                <w:bottom w:val="none" w:sz="0" w:space="0" w:color="auto"/>
                                                                <w:right w:val="none" w:sz="0" w:space="0" w:color="auto"/>
                                                              </w:divBdr>
                                                              <w:divsChild>
                                                                <w:div w:id="259409354">
                                                                  <w:marLeft w:val="0"/>
                                                                  <w:marRight w:val="0"/>
                                                                  <w:marTop w:val="0"/>
                                                                  <w:marBottom w:val="0"/>
                                                                  <w:divBdr>
                                                                    <w:top w:val="none" w:sz="0" w:space="0" w:color="auto"/>
                                                                    <w:left w:val="none" w:sz="0" w:space="0" w:color="auto"/>
                                                                    <w:bottom w:val="none" w:sz="0" w:space="0" w:color="auto"/>
                                                                    <w:right w:val="none" w:sz="0" w:space="0" w:color="auto"/>
                                                                  </w:divBdr>
                                                                  <w:divsChild>
                                                                    <w:div w:id="179666730">
                                                                      <w:marLeft w:val="0"/>
                                                                      <w:marRight w:val="0"/>
                                                                      <w:marTop w:val="0"/>
                                                                      <w:marBottom w:val="0"/>
                                                                      <w:divBdr>
                                                                        <w:top w:val="none" w:sz="0" w:space="0" w:color="auto"/>
                                                                        <w:left w:val="none" w:sz="0" w:space="0" w:color="auto"/>
                                                                        <w:bottom w:val="none" w:sz="0" w:space="0" w:color="auto"/>
                                                                        <w:right w:val="none" w:sz="0" w:space="0" w:color="auto"/>
                                                                      </w:divBdr>
                                                                      <w:divsChild>
                                                                        <w:div w:id="516386941">
                                                                          <w:marLeft w:val="0"/>
                                                                          <w:marRight w:val="0"/>
                                                                          <w:marTop w:val="0"/>
                                                                          <w:marBottom w:val="0"/>
                                                                          <w:divBdr>
                                                                            <w:top w:val="none" w:sz="0" w:space="0" w:color="auto"/>
                                                                            <w:left w:val="none" w:sz="0" w:space="0" w:color="auto"/>
                                                                            <w:bottom w:val="none" w:sz="0" w:space="0" w:color="auto"/>
                                                                            <w:right w:val="none" w:sz="0" w:space="0" w:color="auto"/>
                                                                          </w:divBdr>
                                                                          <w:divsChild>
                                                                            <w:div w:id="2054961957">
                                                                              <w:marLeft w:val="0"/>
                                                                              <w:marRight w:val="0"/>
                                                                              <w:marTop w:val="0"/>
                                                                              <w:marBottom w:val="0"/>
                                                                              <w:divBdr>
                                                                                <w:top w:val="none" w:sz="0" w:space="0" w:color="auto"/>
                                                                                <w:left w:val="none" w:sz="0" w:space="0" w:color="auto"/>
                                                                                <w:bottom w:val="none" w:sz="0" w:space="0" w:color="auto"/>
                                                                                <w:right w:val="none" w:sz="0" w:space="0" w:color="auto"/>
                                                                              </w:divBdr>
                                                                              <w:divsChild>
                                                                                <w:div w:id="1192917144">
                                                                                  <w:marLeft w:val="0"/>
                                                                                  <w:marRight w:val="0"/>
                                                                                  <w:marTop w:val="0"/>
                                                                                  <w:marBottom w:val="0"/>
                                                                                  <w:divBdr>
                                                                                    <w:top w:val="none" w:sz="0" w:space="0" w:color="auto"/>
                                                                                    <w:left w:val="none" w:sz="0" w:space="0" w:color="auto"/>
                                                                                    <w:bottom w:val="none" w:sz="0" w:space="0" w:color="auto"/>
                                                                                    <w:right w:val="none" w:sz="0" w:space="0" w:color="auto"/>
                                                                                  </w:divBdr>
                                                                                  <w:divsChild>
                                                                                    <w:div w:id="12759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1854000">
      <w:bodyDiv w:val="1"/>
      <w:marLeft w:val="0"/>
      <w:marRight w:val="0"/>
      <w:marTop w:val="0"/>
      <w:marBottom w:val="0"/>
      <w:divBdr>
        <w:top w:val="none" w:sz="0" w:space="0" w:color="auto"/>
        <w:left w:val="none" w:sz="0" w:space="0" w:color="auto"/>
        <w:bottom w:val="none" w:sz="0" w:space="0" w:color="auto"/>
        <w:right w:val="none" w:sz="0" w:space="0" w:color="auto"/>
      </w:divBdr>
      <w:divsChild>
        <w:div w:id="611935320">
          <w:marLeft w:val="0"/>
          <w:marRight w:val="0"/>
          <w:marTop w:val="0"/>
          <w:marBottom w:val="0"/>
          <w:divBdr>
            <w:top w:val="none" w:sz="0" w:space="0" w:color="auto"/>
            <w:left w:val="none" w:sz="0" w:space="0" w:color="auto"/>
            <w:bottom w:val="none" w:sz="0" w:space="0" w:color="auto"/>
            <w:right w:val="none" w:sz="0" w:space="0" w:color="auto"/>
          </w:divBdr>
          <w:divsChild>
            <w:div w:id="1022169841">
              <w:marLeft w:val="0"/>
              <w:marRight w:val="0"/>
              <w:marTop w:val="0"/>
              <w:marBottom w:val="0"/>
              <w:divBdr>
                <w:top w:val="none" w:sz="0" w:space="0" w:color="auto"/>
                <w:left w:val="none" w:sz="0" w:space="0" w:color="auto"/>
                <w:bottom w:val="none" w:sz="0" w:space="0" w:color="auto"/>
                <w:right w:val="none" w:sz="0" w:space="0" w:color="auto"/>
              </w:divBdr>
              <w:divsChild>
                <w:div w:id="318391009">
                  <w:marLeft w:val="0"/>
                  <w:marRight w:val="0"/>
                  <w:marTop w:val="0"/>
                  <w:marBottom w:val="0"/>
                  <w:divBdr>
                    <w:top w:val="none" w:sz="0" w:space="0" w:color="auto"/>
                    <w:left w:val="none" w:sz="0" w:space="0" w:color="auto"/>
                    <w:bottom w:val="none" w:sz="0" w:space="0" w:color="auto"/>
                    <w:right w:val="none" w:sz="0" w:space="0" w:color="auto"/>
                  </w:divBdr>
                  <w:divsChild>
                    <w:div w:id="1888712569">
                      <w:marLeft w:val="0"/>
                      <w:marRight w:val="0"/>
                      <w:marTop w:val="0"/>
                      <w:marBottom w:val="0"/>
                      <w:divBdr>
                        <w:top w:val="none" w:sz="0" w:space="0" w:color="auto"/>
                        <w:left w:val="none" w:sz="0" w:space="0" w:color="auto"/>
                        <w:bottom w:val="none" w:sz="0" w:space="0" w:color="auto"/>
                        <w:right w:val="none" w:sz="0" w:space="0" w:color="auto"/>
                      </w:divBdr>
                      <w:divsChild>
                        <w:div w:id="2107841024">
                          <w:marLeft w:val="0"/>
                          <w:marRight w:val="0"/>
                          <w:marTop w:val="0"/>
                          <w:marBottom w:val="0"/>
                          <w:divBdr>
                            <w:top w:val="none" w:sz="0" w:space="0" w:color="auto"/>
                            <w:left w:val="none" w:sz="0" w:space="0" w:color="auto"/>
                            <w:bottom w:val="none" w:sz="0" w:space="0" w:color="auto"/>
                            <w:right w:val="none" w:sz="0" w:space="0" w:color="auto"/>
                          </w:divBdr>
                          <w:divsChild>
                            <w:div w:id="337465106">
                              <w:marLeft w:val="0"/>
                              <w:marRight w:val="0"/>
                              <w:marTop w:val="0"/>
                              <w:marBottom w:val="0"/>
                              <w:divBdr>
                                <w:top w:val="none" w:sz="0" w:space="0" w:color="auto"/>
                                <w:left w:val="none" w:sz="0" w:space="0" w:color="auto"/>
                                <w:bottom w:val="none" w:sz="0" w:space="0" w:color="auto"/>
                                <w:right w:val="none" w:sz="0" w:space="0" w:color="auto"/>
                              </w:divBdr>
                              <w:divsChild>
                                <w:div w:id="757217254">
                                  <w:marLeft w:val="0"/>
                                  <w:marRight w:val="0"/>
                                  <w:marTop w:val="0"/>
                                  <w:marBottom w:val="0"/>
                                  <w:divBdr>
                                    <w:top w:val="none" w:sz="0" w:space="0" w:color="auto"/>
                                    <w:left w:val="none" w:sz="0" w:space="0" w:color="auto"/>
                                    <w:bottom w:val="none" w:sz="0" w:space="0" w:color="auto"/>
                                    <w:right w:val="none" w:sz="0" w:space="0" w:color="auto"/>
                                  </w:divBdr>
                                  <w:divsChild>
                                    <w:div w:id="1240946859">
                                      <w:marLeft w:val="0"/>
                                      <w:marRight w:val="0"/>
                                      <w:marTop w:val="0"/>
                                      <w:marBottom w:val="0"/>
                                      <w:divBdr>
                                        <w:top w:val="none" w:sz="0" w:space="0" w:color="auto"/>
                                        <w:left w:val="none" w:sz="0" w:space="0" w:color="auto"/>
                                        <w:bottom w:val="none" w:sz="0" w:space="0" w:color="auto"/>
                                        <w:right w:val="none" w:sz="0" w:space="0" w:color="auto"/>
                                      </w:divBdr>
                                      <w:divsChild>
                                        <w:div w:id="1653945536">
                                          <w:marLeft w:val="0"/>
                                          <w:marRight w:val="0"/>
                                          <w:marTop w:val="0"/>
                                          <w:marBottom w:val="0"/>
                                          <w:divBdr>
                                            <w:top w:val="none" w:sz="0" w:space="0" w:color="auto"/>
                                            <w:left w:val="none" w:sz="0" w:space="0" w:color="auto"/>
                                            <w:bottom w:val="none" w:sz="0" w:space="0" w:color="auto"/>
                                            <w:right w:val="none" w:sz="0" w:space="0" w:color="auto"/>
                                          </w:divBdr>
                                          <w:divsChild>
                                            <w:div w:id="111243074">
                                              <w:marLeft w:val="0"/>
                                              <w:marRight w:val="0"/>
                                              <w:marTop w:val="0"/>
                                              <w:marBottom w:val="0"/>
                                              <w:divBdr>
                                                <w:top w:val="none" w:sz="0" w:space="0" w:color="auto"/>
                                                <w:left w:val="none" w:sz="0" w:space="0" w:color="auto"/>
                                                <w:bottom w:val="none" w:sz="0" w:space="0" w:color="auto"/>
                                                <w:right w:val="none" w:sz="0" w:space="0" w:color="auto"/>
                                              </w:divBdr>
                                              <w:divsChild>
                                                <w:div w:id="1917398133">
                                                  <w:marLeft w:val="0"/>
                                                  <w:marRight w:val="0"/>
                                                  <w:marTop w:val="0"/>
                                                  <w:marBottom w:val="555"/>
                                                  <w:divBdr>
                                                    <w:top w:val="none" w:sz="0" w:space="0" w:color="auto"/>
                                                    <w:left w:val="none" w:sz="0" w:space="0" w:color="auto"/>
                                                    <w:bottom w:val="none" w:sz="0" w:space="0" w:color="auto"/>
                                                    <w:right w:val="none" w:sz="0" w:space="0" w:color="auto"/>
                                                  </w:divBdr>
                                                  <w:divsChild>
                                                    <w:div w:id="1508246751">
                                                      <w:marLeft w:val="0"/>
                                                      <w:marRight w:val="0"/>
                                                      <w:marTop w:val="0"/>
                                                      <w:marBottom w:val="0"/>
                                                      <w:divBdr>
                                                        <w:top w:val="none" w:sz="0" w:space="0" w:color="auto"/>
                                                        <w:left w:val="none" w:sz="0" w:space="0" w:color="auto"/>
                                                        <w:bottom w:val="none" w:sz="0" w:space="0" w:color="auto"/>
                                                        <w:right w:val="none" w:sz="0" w:space="0" w:color="auto"/>
                                                      </w:divBdr>
                                                      <w:divsChild>
                                                        <w:div w:id="113332142">
                                                          <w:marLeft w:val="0"/>
                                                          <w:marRight w:val="0"/>
                                                          <w:marTop w:val="0"/>
                                                          <w:marBottom w:val="0"/>
                                                          <w:divBdr>
                                                            <w:top w:val="single" w:sz="12" w:space="0" w:color="ABABAB"/>
                                                            <w:left w:val="single" w:sz="6" w:space="0" w:color="ABABAB"/>
                                                            <w:bottom w:val="single" w:sz="6" w:space="0" w:color="ABABAB"/>
                                                            <w:right w:val="single" w:sz="6" w:space="0" w:color="ABABAB"/>
                                                          </w:divBdr>
                                                          <w:divsChild>
                                                            <w:div w:id="992754662">
                                                              <w:marLeft w:val="0"/>
                                                              <w:marRight w:val="0"/>
                                                              <w:marTop w:val="0"/>
                                                              <w:marBottom w:val="0"/>
                                                              <w:divBdr>
                                                                <w:top w:val="none" w:sz="0" w:space="0" w:color="auto"/>
                                                                <w:left w:val="none" w:sz="0" w:space="0" w:color="auto"/>
                                                                <w:bottom w:val="none" w:sz="0" w:space="0" w:color="auto"/>
                                                                <w:right w:val="none" w:sz="0" w:space="0" w:color="auto"/>
                                                              </w:divBdr>
                                                              <w:divsChild>
                                                                <w:div w:id="1819688836">
                                                                  <w:marLeft w:val="0"/>
                                                                  <w:marRight w:val="0"/>
                                                                  <w:marTop w:val="0"/>
                                                                  <w:marBottom w:val="0"/>
                                                                  <w:divBdr>
                                                                    <w:top w:val="none" w:sz="0" w:space="0" w:color="auto"/>
                                                                    <w:left w:val="none" w:sz="0" w:space="0" w:color="auto"/>
                                                                    <w:bottom w:val="none" w:sz="0" w:space="0" w:color="auto"/>
                                                                    <w:right w:val="none" w:sz="0" w:space="0" w:color="auto"/>
                                                                  </w:divBdr>
                                                                  <w:divsChild>
                                                                    <w:div w:id="1965380473">
                                                                      <w:marLeft w:val="0"/>
                                                                      <w:marRight w:val="0"/>
                                                                      <w:marTop w:val="0"/>
                                                                      <w:marBottom w:val="0"/>
                                                                      <w:divBdr>
                                                                        <w:top w:val="none" w:sz="0" w:space="0" w:color="auto"/>
                                                                        <w:left w:val="none" w:sz="0" w:space="0" w:color="auto"/>
                                                                        <w:bottom w:val="none" w:sz="0" w:space="0" w:color="auto"/>
                                                                        <w:right w:val="none" w:sz="0" w:space="0" w:color="auto"/>
                                                                      </w:divBdr>
                                                                      <w:divsChild>
                                                                        <w:div w:id="705060874">
                                                                          <w:marLeft w:val="0"/>
                                                                          <w:marRight w:val="0"/>
                                                                          <w:marTop w:val="0"/>
                                                                          <w:marBottom w:val="0"/>
                                                                          <w:divBdr>
                                                                            <w:top w:val="none" w:sz="0" w:space="0" w:color="auto"/>
                                                                            <w:left w:val="none" w:sz="0" w:space="0" w:color="auto"/>
                                                                            <w:bottom w:val="none" w:sz="0" w:space="0" w:color="auto"/>
                                                                            <w:right w:val="none" w:sz="0" w:space="0" w:color="auto"/>
                                                                          </w:divBdr>
                                                                          <w:divsChild>
                                                                            <w:div w:id="1353606946">
                                                                              <w:marLeft w:val="0"/>
                                                                              <w:marRight w:val="0"/>
                                                                              <w:marTop w:val="0"/>
                                                                              <w:marBottom w:val="0"/>
                                                                              <w:divBdr>
                                                                                <w:top w:val="none" w:sz="0" w:space="0" w:color="auto"/>
                                                                                <w:left w:val="none" w:sz="0" w:space="0" w:color="auto"/>
                                                                                <w:bottom w:val="none" w:sz="0" w:space="0" w:color="auto"/>
                                                                                <w:right w:val="none" w:sz="0" w:space="0" w:color="auto"/>
                                                                              </w:divBdr>
                                                                              <w:divsChild>
                                                                                <w:div w:id="190072809">
                                                                                  <w:marLeft w:val="0"/>
                                                                                  <w:marRight w:val="0"/>
                                                                                  <w:marTop w:val="0"/>
                                                                                  <w:marBottom w:val="0"/>
                                                                                  <w:divBdr>
                                                                                    <w:top w:val="none" w:sz="0" w:space="0" w:color="auto"/>
                                                                                    <w:left w:val="none" w:sz="0" w:space="0" w:color="auto"/>
                                                                                    <w:bottom w:val="none" w:sz="0" w:space="0" w:color="auto"/>
                                                                                    <w:right w:val="none" w:sz="0" w:space="0" w:color="auto"/>
                                                                                  </w:divBdr>
                                                                                  <w:divsChild>
                                                                                    <w:div w:id="122286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347118">
      <w:bodyDiv w:val="1"/>
      <w:marLeft w:val="0"/>
      <w:marRight w:val="0"/>
      <w:marTop w:val="0"/>
      <w:marBottom w:val="0"/>
      <w:divBdr>
        <w:top w:val="none" w:sz="0" w:space="0" w:color="auto"/>
        <w:left w:val="none" w:sz="0" w:space="0" w:color="auto"/>
        <w:bottom w:val="none" w:sz="0" w:space="0" w:color="auto"/>
        <w:right w:val="none" w:sz="0" w:space="0" w:color="auto"/>
      </w:divBdr>
      <w:divsChild>
        <w:div w:id="965087445">
          <w:marLeft w:val="0"/>
          <w:marRight w:val="0"/>
          <w:marTop w:val="0"/>
          <w:marBottom w:val="240"/>
          <w:divBdr>
            <w:top w:val="none" w:sz="0" w:space="0" w:color="auto"/>
            <w:left w:val="none" w:sz="0" w:space="0" w:color="auto"/>
            <w:bottom w:val="none" w:sz="0" w:space="0" w:color="auto"/>
            <w:right w:val="none" w:sz="0" w:space="0" w:color="auto"/>
          </w:divBdr>
        </w:div>
        <w:div w:id="1139111535">
          <w:marLeft w:val="0"/>
          <w:marRight w:val="0"/>
          <w:marTop w:val="0"/>
          <w:marBottom w:val="240"/>
          <w:divBdr>
            <w:top w:val="none" w:sz="0" w:space="0" w:color="auto"/>
            <w:left w:val="none" w:sz="0" w:space="0" w:color="auto"/>
            <w:bottom w:val="none" w:sz="0" w:space="0" w:color="auto"/>
            <w:right w:val="none" w:sz="0" w:space="0" w:color="auto"/>
          </w:divBdr>
        </w:div>
        <w:div w:id="882398961">
          <w:marLeft w:val="0"/>
          <w:marRight w:val="0"/>
          <w:marTop w:val="0"/>
          <w:marBottom w:val="240"/>
          <w:divBdr>
            <w:top w:val="none" w:sz="0" w:space="0" w:color="auto"/>
            <w:left w:val="none" w:sz="0" w:space="0" w:color="auto"/>
            <w:bottom w:val="none" w:sz="0" w:space="0" w:color="auto"/>
            <w:right w:val="none" w:sz="0" w:space="0" w:color="auto"/>
          </w:divBdr>
        </w:div>
        <w:div w:id="2045907919">
          <w:marLeft w:val="0"/>
          <w:marRight w:val="0"/>
          <w:marTop w:val="0"/>
          <w:marBottom w:val="240"/>
          <w:divBdr>
            <w:top w:val="none" w:sz="0" w:space="0" w:color="auto"/>
            <w:left w:val="none" w:sz="0" w:space="0" w:color="auto"/>
            <w:bottom w:val="none" w:sz="0" w:space="0" w:color="auto"/>
            <w:right w:val="none" w:sz="0" w:space="0" w:color="auto"/>
          </w:divBdr>
        </w:div>
        <w:div w:id="205252967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footer" Target="footer5.xml" Id="rId17" /><Relationship Type="http://schemas.openxmlformats.org/officeDocument/2006/relationships/numbering" Target="numbering.xml" Id="rId2" /><Relationship Type="http://schemas.openxmlformats.org/officeDocument/2006/relationships/header" Target="header5.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footer" Target="footer4.xml" Id="rId15" /><Relationship Type="http://schemas.openxmlformats.org/officeDocument/2006/relationships/footer" Target="footer1.xm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header" Target="header4.xml" Id="rId14" /><Relationship Type="http://schemas.openxmlformats.org/officeDocument/2006/relationships/hyperlink" Target="http://docs.cpuc.ca.gov/PublishedDocs/Published/G000/M352/K460/352460864.pdf" TargetMode="External" Id="R850bc18654d1476a" /></Relationships>
</file>

<file path=word/_rels/footnotes.xml.rels><?xml version="1.0" encoding="UTF-8" standalone="yes"?>
<Relationships xmlns="http://schemas.openxmlformats.org/package/2006/relationships"><Relationship Id="rId1" Type="http://schemas.openxmlformats.org/officeDocument/2006/relationships/hyperlink" Target="https://www.cpuc.ca.gov/uploadedFiles/CPUCWebsite/Content/About_Us/Organization/Divisions/WSD/WSAB%20Recommendations%20on%202021%20WMP%20Guidelines%20APPROVED%20CONCURRENCES%206.24.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07C00-4BF8-4A0B-A70A-709432EED4D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18</ap:Pages>
  <ap:Words>4324</ap:Words>
  <ap:Characters>24648</ap:Characters>
  <ap:Application>Microsoft Office Word</ap:Application>
  <ap:DocSecurity>0</ap:DocSecurity>
  <ap:Lines>205</ap:Lines>
  <ap:Paragraphs>57</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28915</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2020-11-30T11:46:01Z</dcterms:created>
  <dcterms:modified xsi:type="dcterms:W3CDTF">2020-11-30T11:46:01Z</dcterms:modified>
</cp:coreProperties>
</file>